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3B6" w:rsidRPr="00F9041F" w:rsidRDefault="00BE211A" w:rsidP="00F9041F">
      <w:pPr>
        <w:jc w:val="center"/>
        <w:rPr>
          <w:b/>
          <w:sz w:val="52"/>
          <w:szCs w:val="52"/>
        </w:rPr>
      </w:pPr>
      <w:r w:rsidRPr="00F9041F">
        <w:rPr>
          <w:b/>
          <w:sz w:val="52"/>
          <w:szCs w:val="52"/>
        </w:rPr>
        <w:t>LEGISLATION</w:t>
      </w:r>
    </w:p>
    <w:p w:rsidR="00BE211A" w:rsidRDefault="00BE211A"/>
    <w:p w:rsidR="00BE211A" w:rsidRDefault="00BE211A"/>
    <w:p w:rsidR="00BE211A" w:rsidRDefault="00BE211A"/>
    <w:p w:rsidR="00BE211A" w:rsidRPr="00084223" w:rsidRDefault="00084223">
      <w:pPr>
        <w:rPr>
          <w:b/>
        </w:rPr>
      </w:pPr>
      <w:proofErr w:type="gramStart"/>
      <w:r>
        <w:rPr>
          <w:b/>
        </w:rPr>
        <w:t>1.</w:t>
      </w:r>
      <w:r w:rsidR="00BE211A" w:rsidRPr="00084223">
        <w:rPr>
          <w:b/>
        </w:rPr>
        <w:t>Obligation</w:t>
      </w:r>
      <w:proofErr w:type="gramEnd"/>
      <w:r w:rsidR="00BE211A" w:rsidRPr="00084223">
        <w:rPr>
          <w:b/>
        </w:rPr>
        <w:t xml:space="preserve"> des sociétés de recouvrement :</w:t>
      </w:r>
    </w:p>
    <w:p w:rsidR="00BE211A" w:rsidRDefault="00BE211A"/>
    <w:p w:rsidR="00BE211A" w:rsidRDefault="00BE211A">
      <w:pPr>
        <w:rPr>
          <w:rStyle w:val="Accentuation"/>
          <w:rFonts w:ascii="Arial" w:hAnsi="Arial" w:cs="Arial"/>
          <w:color w:val="262626"/>
          <w:sz w:val="18"/>
          <w:szCs w:val="18"/>
          <w:shd w:val="clear" w:color="auto" w:fill="FFFFFF"/>
        </w:rPr>
      </w:pPr>
      <w:r>
        <w:rPr>
          <w:rFonts w:ascii="Arial" w:hAnsi="Arial" w:cs="Arial"/>
          <w:color w:val="262626"/>
          <w:sz w:val="18"/>
          <w:szCs w:val="18"/>
          <w:shd w:val="clear" w:color="auto" w:fill="FFFFFF"/>
        </w:rPr>
        <w:t>Toute personne qui procède au recouvrement de créances doit être titulaire d'un compte exclusivement affecté à la réception des fonds encaissés pour le compte des créanciers.</w:t>
      </w:r>
      <w:r>
        <w:rPr>
          <w:rFonts w:ascii="Arial" w:hAnsi="Arial" w:cs="Arial"/>
          <w:color w:val="262626"/>
          <w:sz w:val="18"/>
          <w:szCs w:val="18"/>
        </w:rPr>
        <w:br/>
      </w:r>
      <w:hyperlink r:id="rId5" w:tgtFrame="_blank" w:history="1">
        <w:r>
          <w:rPr>
            <w:rStyle w:val="Lienhypertexte"/>
            <w:rFonts w:ascii="Arial" w:hAnsi="Arial" w:cs="Arial"/>
            <w:sz w:val="18"/>
            <w:szCs w:val="18"/>
            <w:u w:val="none"/>
            <w:shd w:val="clear" w:color="auto" w:fill="FFFFFF"/>
          </w:rPr>
          <w:t xml:space="preserve">Article R124-2 du code des </w:t>
        </w:r>
        <w:r>
          <w:rPr>
            <w:rStyle w:val="Lienhypertexte"/>
            <w:rFonts w:ascii="Arial" w:hAnsi="Arial" w:cs="Arial"/>
            <w:sz w:val="18"/>
            <w:szCs w:val="18"/>
            <w:u w:val="none"/>
            <w:shd w:val="clear" w:color="auto" w:fill="FFFFFF"/>
          </w:rPr>
          <w:t>p</w:t>
        </w:r>
        <w:r>
          <w:rPr>
            <w:rStyle w:val="Lienhypertexte"/>
            <w:rFonts w:ascii="Arial" w:hAnsi="Arial" w:cs="Arial"/>
            <w:sz w:val="18"/>
            <w:szCs w:val="18"/>
            <w:u w:val="none"/>
            <w:shd w:val="clear" w:color="auto" w:fill="FFFFFF"/>
          </w:rPr>
          <w:t>rocédures civiles d'exécution</w:t>
        </w:r>
      </w:hyperlink>
      <w:r>
        <w:rPr>
          <w:rFonts w:ascii="Arial" w:hAnsi="Arial" w:cs="Arial"/>
          <w:color w:val="262626"/>
          <w:sz w:val="18"/>
          <w:szCs w:val="18"/>
        </w:rPr>
        <w:br/>
      </w:r>
      <w:r>
        <w:rPr>
          <w:rFonts w:ascii="Arial" w:hAnsi="Arial" w:cs="Arial"/>
          <w:color w:val="262626"/>
          <w:sz w:val="18"/>
          <w:szCs w:val="18"/>
        </w:rPr>
        <w:br/>
      </w:r>
      <w:r>
        <w:rPr>
          <w:rStyle w:val="Accentuation"/>
          <w:rFonts w:ascii="Arial" w:hAnsi="Arial" w:cs="Arial"/>
          <w:color w:val="262626"/>
          <w:sz w:val="18"/>
          <w:szCs w:val="18"/>
          <w:shd w:val="clear" w:color="auto" w:fill="FFFFFF"/>
        </w:rPr>
        <w:t>Précision : l'ouverture de ce compte ne peut être effectuée qu'auprès d'un établissement de crédit habilité à recevoir des fonds publics (banques, banques mutualistes ou coopératives et caisses de crédit municipal) ou auprès de l'une des entités suivantes :</w:t>
      </w:r>
      <w:r>
        <w:rPr>
          <w:rStyle w:val="apple-converted-space"/>
          <w:rFonts w:ascii="Arial" w:hAnsi="Arial" w:cs="Arial"/>
          <w:color w:val="262626"/>
          <w:sz w:val="18"/>
          <w:szCs w:val="18"/>
          <w:shd w:val="clear" w:color="auto" w:fill="FFFFFF"/>
        </w:rPr>
        <w:t> </w:t>
      </w:r>
      <w:r>
        <w:rPr>
          <w:rStyle w:val="Accentuation"/>
          <w:rFonts w:ascii="Arial" w:hAnsi="Arial" w:cs="Arial"/>
          <w:color w:val="262626"/>
          <w:sz w:val="18"/>
          <w:szCs w:val="18"/>
          <w:shd w:val="clear" w:color="auto" w:fill="FFFFFF"/>
        </w:rPr>
        <w:t>le Trésor public, la Banque de France, la Poste (services financiers), l'institut d'émission d'Outre-mer et des départements d'Outre-mer et la Caisse des dépôts et consignations (CDC).</w:t>
      </w:r>
      <w:r>
        <w:rPr>
          <w:rFonts w:ascii="Arial" w:hAnsi="Arial" w:cs="Arial"/>
          <w:i/>
          <w:iCs/>
          <w:color w:val="262626"/>
          <w:sz w:val="18"/>
          <w:szCs w:val="18"/>
          <w:shd w:val="clear" w:color="auto" w:fill="FFFFFF"/>
        </w:rPr>
        <w:br/>
      </w:r>
      <w:hyperlink r:id="rId6" w:tgtFrame="_blank" w:history="1">
        <w:r>
          <w:rPr>
            <w:rStyle w:val="Lienhypertexte"/>
            <w:rFonts w:ascii="Arial" w:hAnsi="Arial" w:cs="Arial"/>
            <w:i/>
            <w:iCs/>
            <w:sz w:val="18"/>
            <w:szCs w:val="18"/>
            <w:u w:val="none"/>
            <w:shd w:val="clear" w:color="auto" w:fill="FFFFFF"/>
          </w:rPr>
          <w:t>Articles L518-1</w:t>
        </w:r>
      </w:hyperlink>
      <w:r>
        <w:rPr>
          <w:rStyle w:val="apple-converted-space"/>
          <w:rFonts w:ascii="Arial" w:hAnsi="Arial" w:cs="Arial"/>
          <w:i/>
          <w:iCs/>
          <w:color w:val="262626"/>
          <w:sz w:val="18"/>
          <w:szCs w:val="18"/>
          <w:shd w:val="clear" w:color="auto" w:fill="FFFFFF"/>
        </w:rPr>
        <w:t> </w:t>
      </w:r>
      <w:r>
        <w:rPr>
          <w:rStyle w:val="Accentuation"/>
          <w:rFonts w:ascii="Arial" w:hAnsi="Arial" w:cs="Arial"/>
          <w:color w:val="262626"/>
          <w:sz w:val="18"/>
          <w:szCs w:val="18"/>
          <w:shd w:val="clear" w:color="auto" w:fill="FFFFFF"/>
        </w:rPr>
        <w:t>et</w:t>
      </w:r>
      <w:r>
        <w:rPr>
          <w:rStyle w:val="apple-converted-space"/>
          <w:rFonts w:ascii="Arial" w:hAnsi="Arial" w:cs="Arial"/>
          <w:i/>
          <w:iCs/>
          <w:color w:val="262626"/>
          <w:sz w:val="18"/>
          <w:szCs w:val="18"/>
          <w:shd w:val="clear" w:color="auto" w:fill="FFFFFF"/>
        </w:rPr>
        <w:t> </w:t>
      </w:r>
      <w:hyperlink r:id="rId7" w:tgtFrame="_blank" w:history="1">
        <w:r>
          <w:rPr>
            <w:rStyle w:val="Lienhypertexte"/>
            <w:rFonts w:ascii="Arial" w:hAnsi="Arial" w:cs="Arial"/>
            <w:i/>
            <w:iCs/>
            <w:sz w:val="18"/>
            <w:szCs w:val="18"/>
            <w:u w:val="none"/>
            <w:shd w:val="clear" w:color="auto" w:fill="FFFFFF"/>
          </w:rPr>
          <w:t>L511-9 du code monétaire et financier</w:t>
        </w:r>
      </w:hyperlink>
    </w:p>
    <w:p w:rsidR="00BE211A" w:rsidRDefault="00BE211A">
      <w:pPr>
        <w:rPr>
          <w:rStyle w:val="Accentuation"/>
          <w:rFonts w:ascii="Arial" w:hAnsi="Arial" w:cs="Arial"/>
          <w:color w:val="262626"/>
          <w:sz w:val="18"/>
          <w:szCs w:val="18"/>
          <w:shd w:val="clear" w:color="auto" w:fill="FFFFFF"/>
        </w:rPr>
      </w:pPr>
    </w:p>
    <w:p w:rsidR="00BE211A" w:rsidRDefault="00BE211A">
      <w:r>
        <w:rPr>
          <w:rFonts w:ascii="Arial" w:hAnsi="Arial" w:cs="Arial"/>
          <w:color w:val="262626"/>
          <w:sz w:val="18"/>
          <w:szCs w:val="18"/>
          <w:shd w:val="clear" w:color="auto" w:fill="FFFFFF"/>
        </w:rPr>
        <w:t>Toute personne qui procède au recouvrement de créances doit souscrire un contrat d'assurance la garantissant contre les conséquences pécuniaires de la responsabilité civile professionnelle qu'elle peut encourir en raison de son activité.</w:t>
      </w:r>
      <w:r>
        <w:rPr>
          <w:rFonts w:ascii="Arial" w:hAnsi="Arial" w:cs="Arial"/>
          <w:color w:val="262626"/>
          <w:sz w:val="18"/>
          <w:szCs w:val="18"/>
        </w:rPr>
        <w:br/>
      </w:r>
      <w:hyperlink r:id="rId8" w:tgtFrame="_blank" w:history="1">
        <w:r>
          <w:rPr>
            <w:rStyle w:val="Lienhypertexte"/>
            <w:rFonts w:ascii="Arial" w:hAnsi="Arial" w:cs="Arial"/>
            <w:sz w:val="18"/>
            <w:szCs w:val="18"/>
            <w:u w:val="none"/>
            <w:shd w:val="clear" w:color="auto" w:fill="FFFFFF"/>
          </w:rPr>
          <w:t>Article R124-2 du code des procédures civiles d'exéc</w:t>
        </w:r>
        <w:r>
          <w:rPr>
            <w:rStyle w:val="Lienhypertexte"/>
            <w:rFonts w:ascii="Arial" w:hAnsi="Arial" w:cs="Arial"/>
            <w:sz w:val="18"/>
            <w:szCs w:val="18"/>
            <w:u w:val="none"/>
            <w:shd w:val="clear" w:color="auto" w:fill="FFFFFF"/>
          </w:rPr>
          <w:t>u</w:t>
        </w:r>
        <w:r>
          <w:rPr>
            <w:rStyle w:val="Lienhypertexte"/>
            <w:rFonts w:ascii="Arial" w:hAnsi="Arial" w:cs="Arial"/>
            <w:sz w:val="18"/>
            <w:szCs w:val="18"/>
            <w:u w:val="none"/>
            <w:shd w:val="clear" w:color="auto" w:fill="FFFFFF"/>
          </w:rPr>
          <w:t>tion</w:t>
        </w:r>
      </w:hyperlink>
    </w:p>
    <w:p w:rsidR="00BE211A" w:rsidRDefault="00BE211A"/>
    <w:p w:rsidR="00BE211A" w:rsidRDefault="00BE211A" w:rsidP="00BE211A">
      <w:pPr>
        <w:pStyle w:val="Paragraphedeliste"/>
        <w:numPr>
          <w:ilvl w:val="0"/>
          <w:numId w:val="1"/>
        </w:numPr>
      </w:pPr>
      <w:r w:rsidRPr="00BE211A">
        <w:rPr>
          <w:rFonts w:ascii="Arial" w:hAnsi="Arial" w:cs="Arial"/>
          <w:b/>
          <w:bCs/>
          <w:color w:val="262626"/>
          <w:sz w:val="18"/>
          <w:szCs w:val="18"/>
          <w:shd w:val="clear" w:color="auto" w:fill="FFFFFF"/>
        </w:rPr>
        <w:t>Relations avec le créancier</w:t>
      </w:r>
      <w:r w:rsidRPr="00BE211A">
        <w:rPr>
          <w:rFonts w:ascii="Arial" w:hAnsi="Arial" w:cs="Arial"/>
          <w:b/>
          <w:bCs/>
          <w:color w:val="262626"/>
          <w:sz w:val="18"/>
          <w:szCs w:val="18"/>
          <w:shd w:val="clear" w:color="auto" w:fill="FFFFFF"/>
        </w:rPr>
        <w:br/>
      </w:r>
      <w:r w:rsidRPr="00BE211A">
        <w:rPr>
          <w:rFonts w:ascii="Arial" w:hAnsi="Arial" w:cs="Arial"/>
          <w:color w:val="262626"/>
          <w:sz w:val="18"/>
          <w:szCs w:val="18"/>
          <w:shd w:val="clear" w:color="auto" w:fill="FFFFFF"/>
        </w:rPr>
        <w:t>Le professionnel a l'obligation de conclure une convention écrite avec le créancier, dans laquelle il lui est donné pouvoir de recevoir des sommes pour son compte. Cette convention doit notamment mentionner les éléments suivants :</w:t>
      </w:r>
      <w:r w:rsidRPr="00BE211A">
        <w:rPr>
          <w:rFonts w:ascii="Arial" w:hAnsi="Arial" w:cs="Arial"/>
          <w:color w:val="262626"/>
          <w:sz w:val="18"/>
          <w:szCs w:val="18"/>
        </w:rPr>
        <w:br/>
      </w:r>
      <w:r w:rsidRPr="00BE211A">
        <w:rPr>
          <w:rFonts w:ascii="Arial" w:hAnsi="Arial" w:cs="Arial"/>
          <w:color w:val="262626"/>
          <w:sz w:val="18"/>
          <w:szCs w:val="18"/>
          <w:shd w:val="clear" w:color="auto" w:fill="FFFFFF"/>
        </w:rPr>
        <w:t>- le fondement et le montant des sommes dues, avec l'indication distincte des différents éléments de la ou des créances à recouvrer sur le débiteur,</w:t>
      </w:r>
      <w:r w:rsidRPr="00BE211A">
        <w:rPr>
          <w:rFonts w:ascii="Arial" w:hAnsi="Arial" w:cs="Arial"/>
          <w:color w:val="262626"/>
          <w:sz w:val="18"/>
          <w:szCs w:val="18"/>
        </w:rPr>
        <w:br/>
      </w:r>
      <w:r w:rsidRPr="00BE211A">
        <w:rPr>
          <w:rFonts w:ascii="Arial" w:hAnsi="Arial" w:cs="Arial"/>
          <w:color w:val="262626"/>
          <w:sz w:val="18"/>
          <w:szCs w:val="18"/>
          <w:shd w:val="clear" w:color="auto" w:fill="FFFFFF"/>
        </w:rPr>
        <w:t>- les conditions et les modalités de la garantie donnée au créancier contre les conséquences pécuniaires de la responsabilité civile encourue en raison de l'activité de recouvrement des créances,</w:t>
      </w:r>
      <w:r w:rsidRPr="00BE211A">
        <w:rPr>
          <w:rFonts w:ascii="Arial" w:hAnsi="Arial" w:cs="Arial"/>
          <w:color w:val="262626"/>
          <w:sz w:val="18"/>
          <w:szCs w:val="18"/>
        </w:rPr>
        <w:br/>
      </w:r>
      <w:r w:rsidRPr="00BE211A">
        <w:rPr>
          <w:rFonts w:ascii="Arial" w:hAnsi="Arial" w:cs="Arial"/>
          <w:color w:val="262626"/>
          <w:sz w:val="18"/>
          <w:szCs w:val="18"/>
          <w:shd w:val="clear" w:color="auto" w:fill="FFFFFF"/>
        </w:rPr>
        <w:t>- les conditions de détermination de la rémunération à la charge du créancier,</w:t>
      </w:r>
      <w:r w:rsidRPr="00BE211A">
        <w:rPr>
          <w:rFonts w:ascii="Arial" w:hAnsi="Arial" w:cs="Arial"/>
          <w:color w:val="262626"/>
          <w:sz w:val="18"/>
          <w:szCs w:val="18"/>
        </w:rPr>
        <w:br/>
      </w:r>
      <w:r w:rsidRPr="00BE211A">
        <w:rPr>
          <w:rFonts w:ascii="Arial" w:hAnsi="Arial" w:cs="Arial"/>
          <w:color w:val="262626"/>
          <w:sz w:val="18"/>
          <w:szCs w:val="18"/>
          <w:shd w:val="clear" w:color="auto" w:fill="FFFFFF"/>
        </w:rPr>
        <w:t>- les conditions de reversement des fonds encaissés pour le compte du créancier.</w:t>
      </w:r>
      <w:r w:rsidRPr="00BE211A">
        <w:rPr>
          <w:rFonts w:ascii="Arial" w:hAnsi="Arial" w:cs="Arial"/>
          <w:color w:val="262626"/>
          <w:sz w:val="18"/>
          <w:szCs w:val="18"/>
        </w:rPr>
        <w:br/>
      </w:r>
      <w:hyperlink r:id="rId9" w:tgtFrame="_blank" w:history="1">
        <w:r w:rsidRPr="00BE211A">
          <w:rPr>
            <w:rStyle w:val="Lienhypertexte"/>
            <w:rFonts w:ascii="Arial" w:hAnsi="Arial" w:cs="Arial"/>
            <w:sz w:val="18"/>
            <w:szCs w:val="18"/>
            <w:u w:val="none"/>
            <w:shd w:val="clear" w:color="auto" w:fill="FFFFFF"/>
          </w:rPr>
          <w:t>Article R124-3 du code des procédures civile</w:t>
        </w:r>
        <w:r w:rsidRPr="00BE211A">
          <w:rPr>
            <w:rStyle w:val="Lienhypertexte"/>
            <w:rFonts w:ascii="Arial" w:hAnsi="Arial" w:cs="Arial"/>
            <w:sz w:val="18"/>
            <w:szCs w:val="18"/>
            <w:u w:val="none"/>
            <w:shd w:val="clear" w:color="auto" w:fill="FFFFFF"/>
          </w:rPr>
          <w:t>s</w:t>
        </w:r>
        <w:r w:rsidRPr="00BE211A">
          <w:rPr>
            <w:rStyle w:val="Lienhypertexte"/>
            <w:rFonts w:ascii="Arial" w:hAnsi="Arial" w:cs="Arial"/>
            <w:sz w:val="18"/>
            <w:szCs w:val="18"/>
            <w:u w:val="none"/>
            <w:shd w:val="clear" w:color="auto" w:fill="FFFFFF"/>
          </w:rPr>
          <w:t xml:space="preserve"> d'exécution</w:t>
        </w:r>
      </w:hyperlink>
    </w:p>
    <w:p w:rsidR="00BE211A" w:rsidRDefault="00BE211A" w:rsidP="00BE211A">
      <w:pPr>
        <w:rPr>
          <w:rFonts w:ascii="Arial" w:hAnsi="Arial" w:cs="Arial"/>
          <w:color w:val="262626"/>
          <w:sz w:val="18"/>
          <w:szCs w:val="18"/>
          <w:shd w:val="clear" w:color="auto" w:fill="FFFFFF"/>
        </w:rPr>
      </w:pPr>
      <w:r>
        <w:rPr>
          <w:rFonts w:ascii="Arial" w:hAnsi="Arial" w:cs="Arial"/>
          <w:color w:val="262626"/>
          <w:sz w:val="18"/>
          <w:szCs w:val="18"/>
          <w:shd w:val="clear" w:color="auto" w:fill="FFFFFF"/>
        </w:rPr>
        <w:t> </w:t>
      </w:r>
      <w:r>
        <w:rPr>
          <w:rFonts w:ascii="Arial" w:hAnsi="Arial" w:cs="Arial"/>
          <w:b/>
          <w:bCs/>
          <w:color w:val="262626"/>
          <w:sz w:val="18"/>
          <w:szCs w:val="18"/>
          <w:shd w:val="clear" w:color="auto" w:fill="FFFFFF"/>
        </w:rPr>
        <w:t>Relations avec le débiteur</w:t>
      </w:r>
      <w:r>
        <w:rPr>
          <w:rFonts w:ascii="Arial" w:hAnsi="Arial" w:cs="Arial"/>
          <w:b/>
          <w:bCs/>
          <w:color w:val="262626"/>
          <w:sz w:val="18"/>
          <w:szCs w:val="18"/>
          <w:shd w:val="clear" w:color="auto" w:fill="FFFFFF"/>
        </w:rPr>
        <w:br/>
      </w:r>
      <w:r>
        <w:rPr>
          <w:rFonts w:ascii="Arial" w:hAnsi="Arial" w:cs="Arial"/>
          <w:color w:val="262626"/>
          <w:sz w:val="18"/>
          <w:szCs w:val="18"/>
          <w:shd w:val="clear" w:color="auto" w:fill="FFFFFF"/>
        </w:rPr>
        <w:t>Le professionnel doit adresser au débiteur une lettre comportant les éléments suivants :</w:t>
      </w:r>
      <w:r>
        <w:rPr>
          <w:rFonts w:ascii="Arial" w:hAnsi="Arial" w:cs="Arial"/>
          <w:color w:val="262626"/>
          <w:sz w:val="18"/>
          <w:szCs w:val="18"/>
        </w:rPr>
        <w:br/>
      </w:r>
      <w:r>
        <w:rPr>
          <w:rFonts w:ascii="Arial" w:hAnsi="Arial" w:cs="Arial"/>
          <w:color w:val="262626"/>
          <w:sz w:val="18"/>
          <w:szCs w:val="18"/>
          <w:shd w:val="clear" w:color="auto" w:fill="FFFFFF"/>
        </w:rPr>
        <w:t>- les nom ou dénomination sociale de la personne chargée du recouvrement amiable, son adresse ou son siège social, l'indication qu'elle exerce une activité de recouvrement amiable,</w:t>
      </w:r>
      <w:r>
        <w:rPr>
          <w:rFonts w:ascii="Arial" w:hAnsi="Arial" w:cs="Arial"/>
          <w:color w:val="262626"/>
          <w:sz w:val="18"/>
          <w:szCs w:val="18"/>
        </w:rPr>
        <w:br/>
      </w:r>
      <w:r>
        <w:rPr>
          <w:rFonts w:ascii="Arial" w:hAnsi="Arial" w:cs="Arial"/>
          <w:color w:val="262626"/>
          <w:sz w:val="18"/>
          <w:szCs w:val="18"/>
          <w:shd w:val="clear" w:color="auto" w:fill="FFFFFF"/>
        </w:rPr>
        <w:t>- les nom ou dénomination sociale du créancier, son adresse ou son siège social,</w:t>
      </w:r>
      <w:r>
        <w:rPr>
          <w:rFonts w:ascii="Arial" w:hAnsi="Arial" w:cs="Arial"/>
          <w:color w:val="262626"/>
          <w:sz w:val="18"/>
          <w:szCs w:val="18"/>
        </w:rPr>
        <w:br/>
      </w:r>
      <w:r>
        <w:rPr>
          <w:rFonts w:ascii="Arial" w:hAnsi="Arial" w:cs="Arial"/>
          <w:color w:val="262626"/>
          <w:sz w:val="18"/>
          <w:szCs w:val="18"/>
          <w:shd w:val="clear" w:color="auto" w:fill="FFFFFF"/>
        </w:rPr>
        <w:t>- le fondement et le montant de la somme due en principal, intérêts et autres accessoires, en distinguant les différents éléments de la dette, et à l'exclusion des frais qui restent à la charge du créancier en application du 3ème alinéa de l'article</w:t>
      </w:r>
      <w:r>
        <w:rPr>
          <w:rStyle w:val="apple-converted-space"/>
          <w:rFonts w:ascii="Arial" w:hAnsi="Arial" w:cs="Arial"/>
          <w:color w:val="262626"/>
          <w:sz w:val="18"/>
          <w:szCs w:val="18"/>
          <w:shd w:val="clear" w:color="auto" w:fill="FFFFFF"/>
        </w:rPr>
        <w:t> </w:t>
      </w:r>
      <w:hyperlink r:id="rId10" w:tgtFrame="_blank" w:history="1">
        <w:r>
          <w:rPr>
            <w:rStyle w:val="Lienhypertexte"/>
            <w:rFonts w:ascii="Arial" w:hAnsi="Arial" w:cs="Arial"/>
            <w:sz w:val="18"/>
            <w:szCs w:val="18"/>
            <w:shd w:val="clear" w:color="auto" w:fill="FFFFFF"/>
          </w:rPr>
          <w:t>L111-8 du code des procé</w:t>
        </w:r>
        <w:r>
          <w:rPr>
            <w:rStyle w:val="Lienhypertexte"/>
            <w:rFonts w:ascii="Arial" w:hAnsi="Arial" w:cs="Arial"/>
            <w:sz w:val="18"/>
            <w:szCs w:val="18"/>
            <w:shd w:val="clear" w:color="auto" w:fill="FFFFFF"/>
          </w:rPr>
          <w:t>d</w:t>
        </w:r>
        <w:r>
          <w:rPr>
            <w:rStyle w:val="Lienhypertexte"/>
            <w:rFonts w:ascii="Arial" w:hAnsi="Arial" w:cs="Arial"/>
            <w:sz w:val="18"/>
            <w:szCs w:val="18"/>
            <w:shd w:val="clear" w:color="auto" w:fill="FFFFFF"/>
          </w:rPr>
          <w:t>ures civiles d'exécution</w:t>
        </w:r>
      </w:hyperlink>
      <w:r>
        <w:rPr>
          <w:rFonts w:ascii="Arial" w:hAnsi="Arial" w:cs="Arial"/>
          <w:color w:val="262626"/>
          <w:sz w:val="18"/>
          <w:szCs w:val="18"/>
          <w:shd w:val="clear" w:color="auto" w:fill="FFFFFF"/>
        </w:rPr>
        <w:t>,</w:t>
      </w:r>
      <w:r>
        <w:rPr>
          <w:rFonts w:ascii="Arial" w:hAnsi="Arial" w:cs="Arial"/>
          <w:color w:val="262626"/>
          <w:sz w:val="18"/>
          <w:szCs w:val="18"/>
        </w:rPr>
        <w:br/>
      </w:r>
      <w:r>
        <w:rPr>
          <w:rFonts w:ascii="Arial" w:hAnsi="Arial" w:cs="Arial"/>
          <w:color w:val="262626"/>
          <w:sz w:val="18"/>
          <w:szCs w:val="18"/>
          <w:shd w:val="clear" w:color="auto" w:fill="FFFFFF"/>
        </w:rPr>
        <w:t>- l'indication d'avoir à payer la somme due et les modalités de paiement de la dette,</w:t>
      </w:r>
      <w:r>
        <w:rPr>
          <w:rFonts w:ascii="Arial" w:hAnsi="Arial" w:cs="Arial"/>
          <w:color w:val="262626"/>
          <w:sz w:val="18"/>
          <w:szCs w:val="18"/>
        </w:rPr>
        <w:br/>
      </w:r>
      <w:r>
        <w:rPr>
          <w:rFonts w:ascii="Arial" w:hAnsi="Arial" w:cs="Arial"/>
          <w:color w:val="262626"/>
          <w:sz w:val="18"/>
          <w:szCs w:val="18"/>
          <w:shd w:val="clear" w:color="auto" w:fill="FFFFFF"/>
        </w:rPr>
        <w:t>- la reproduction les alinéas 2 et 3 de</w:t>
      </w:r>
      <w:r>
        <w:rPr>
          <w:rStyle w:val="apple-converted-space"/>
          <w:rFonts w:ascii="Arial" w:hAnsi="Arial" w:cs="Arial"/>
          <w:color w:val="262626"/>
          <w:sz w:val="18"/>
          <w:szCs w:val="18"/>
          <w:shd w:val="clear" w:color="auto" w:fill="FFFFFF"/>
        </w:rPr>
        <w:t> </w:t>
      </w:r>
      <w:hyperlink r:id="rId11" w:tgtFrame="_blank" w:history="1">
        <w:r>
          <w:rPr>
            <w:rStyle w:val="Lienhypertexte"/>
            <w:rFonts w:ascii="Arial" w:hAnsi="Arial" w:cs="Arial"/>
            <w:sz w:val="18"/>
            <w:szCs w:val="18"/>
            <w:shd w:val="clear" w:color="auto" w:fill="FFFFFF"/>
          </w:rPr>
          <w:t>l'article L111-8</w:t>
        </w:r>
      </w:hyperlink>
      <w:r>
        <w:rPr>
          <w:rFonts w:ascii="Arial" w:hAnsi="Arial" w:cs="Arial"/>
          <w:color w:val="262626"/>
          <w:sz w:val="18"/>
          <w:szCs w:val="18"/>
          <w:shd w:val="clear" w:color="auto" w:fill="FFFFFF"/>
        </w:rPr>
        <w:t> du code des procédures civiles d'exécution :</w:t>
      </w:r>
      <w:r>
        <w:rPr>
          <w:rFonts w:ascii="Arial" w:hAnsi="Arial" w:cs="Arial"/>
          <w:color w:val="262626"/>
          <w:sz w:val="18"/>
          <w:szCs w:val="18"/>
        </w:rPr>
        <w:br/>
      </w:r>
      <w:r>
        <w:rPr>
          <w:rFonts w:ascii="Arial" w:hAnsi="Arial" w:cs="Arial"/>
          <w:i/>
          <w:iCs/>
          <w:color w:val="262626"/>
          <w:sz w:val="18"/>
          <w:szCs w:val="18"/>
          <w:shd w:val="clear" w:color="auto" w:fill="FFFFFF"/>
        </w:rPr>
        <w:t>"Les frais de recouvrement entrepris sans titre exécutoire restent à la charge du créancier, sauf s'ils concernent un acte dont l'accomplissement est prescrit par la loi. Toute stipulation contraire est réputée non écrite, sauf disposition législative contraire.</w:t>
      </w:r>
      <w:r>
        <w:rPr>
          <w:rFonts w:ascii="Arial" w:hAnsi="Arial" w:cs="Arial"/>
          <w:i/>
          <w:iCs/>
          <w:color w:val="262626"/>
          <w:sz w:val="18"/>
          <w:szCs w:val="18"/>
          <w:shd w:val="clear" w:color="auto" w:fill="FFFFFF"/>
        </w:rPr>
        <w:br/>
        <w:t>Cependant, le créancier qui justifie du caractère nécessaire des démarches entreprises pour recouvrer sa créance peut demander au juge de l'exécution de laisser tout ou partie des frais ainsi exposés à la charge du débiteur de mauvaise foi."</w:t>
      </w:r>
      <w:r>
        <w:rPr>
          <w:rFonts w:ascii="Arial" w:hAnsi="Arial" w:cs="Arial"/>
          <w:i/>
          <w:iCs/>
          <w:color w:val="262626"/>
          <w:sz w:val="18"/>
          <w:szCs w:val="18"/>
          <w:shd w:val="clear" w:color="auto" w:fill="FFFFFF"/>
        </w:rPr>
        <w:br/>
      </w:r>
      <w:r>
        <w:rPr>
          <w:rFonts w:ascii="Arial" w:hAnsi="Arial" w:cs="Arial"/>
          <w:color w:val="262626"/>
          <w:sz w:val="18"/>
          <w:szCs w:val="18"/>
        </w:rPr>
        <w:br/>
      </w:r>
      <w:r>
        <w:rPr>
          <w:rFonts w:ascii="Arial" w:hAnsi="Arial" w:cs="Arial"/>
          <w:color w:val="262626"/>
          <w:sz w:val="18"/>
          <w:szCs w:val="18"/>
          <w:shd w:val="clear" w:color="auto" w:fill="FFFFFF"/>
        </w:rPr>
        <w:lastRenderedPageBreak/>
        <w:t>Précision : les références et la date d'envoi de la lettre devront être rappelées à l'occasion de toute autre démarche auprès du débiteur en vue du recouvrement amiable.</w:t>
      </w:r>
    </w:p>
    <w:p w:rsidR="00BE211A" w:rsidRDefault="00BE211A" w:rsidP="00BE211A">
      <w:r>
        <w:rPr>
          <w:rFonts w:ascii="Arial" w:hAnsi="Arial" w:cs="Arial"/>
          <w:color w:val="262626"/>
          <w:sz w:val="18"/>
          <w:szCs w:val="18"/>
          <w:shd w:val="clear" w:color="auto" w:fill="FFFFFF"/>
        </w:rPr>
        <w:t>Une personne assumant l'activité de recouvrement doit également adresser une quittance au débiteur pour tout paiement et reverser au créancier les fonds reçus dans le délai d'un mois à compter de leur encaissement effectif.</w:t>
      </w:r>
      <w:r>
        <w:rPr>
          <w:rFonts w:ascii="Arial" w:hAnsi="Arial" w:cs="Arial"/>
          <w:color w:val="262626"/>
          <w:sz w:val="18"/>
          <w:szCs w:val="18"/>
        </w:rPr>
        <w:br/>
      </w:r>
      <w:hyperlink r:id="rId12" w:tgtFrame="_blank" w:history="1">
        <w:r>
          <w:rPr>
            <w:rStyle w:val="Lienhypertexte"/>
            <w:rFonts w:ascii="Arial" w:hAnsi="Arial" w:cs="Arial"/>
            <w:sz w:val="18"/>
            <w:szCs w:val="18"/>
            <w:u w:val="none"/>
            <w:shd w:val="clear" w:color="auto" w:fill="FFFFFF"/>
          </w:rPr>
          <w:t>Articles R</w:t>
        </w:r>
        <w:r>
          <w:rPr>
            <w:rStyle w:val="Lienhypertexte"/>
            <w:rFonts w:ascii="Arial" w:hAnsi="Arial" w:cs="Arial"/>
            <w:sz w:val="18"/>
            <w:szCs w:val="18"/>
            <w:u w:val="none"/>
            <w:shd w:val="clear" w:color="auto" w:fill="FFFFFF"/>
          </w:rPr>
          <w:t>1</w:t>
        </w:r>
        <w:r>
          <w:rPr>
            <w:rStyle w:val="Lienhypertexte"/>
            <w:rFonts w:ascii="Arial" w:hAnsi="Arial" w:cs="Arial"/>
            <w:sz w:val="18"/>
            <w:szCs w:val="18"/>
            <w:u w:val="none"/>
            <w:shd w:val="clear" w:color="auto" w:fill="FFFFFF"/>
          </w:rPr>
          <w:t>24-4</w:t>
        </w:r>
        <w:r>
          <w:rPr>
            <w:rStyle w:val="apple-converted-space"/>
            <w:rFonts w:ascii="Arial" w:hAnsi="Arial" w:cs="Arial"/>
            <w:color w:val="0000FF"/>
            <w:sz w:val="18"/>
            <w:szCs w:val="18"/>
            <w:shd w:val="clear" w:color="auto" w:fill="FFFFFF"/>
          </w:rPr>
          <w:t> </w:t>
        </w:r>
      </w:hyperlink>
      <w:r>
        <w:rPr>
          <w:rFonts w:ascii="Arial" w:hAnsi="Arial" w:cs="Arial"/>
          <w:color w:val="262626"/>
          <w:sz w:val="18"/>
          <w:szCs w:val="18"/>
          <w:shd w:val="clear" w:color="auto" w:fill="FFFFFF"/>
        </w:rPr>
        <w:t>et </w:t>
      </w:r>
      <w:hyperlink r:id="rId13" w:tgtFrame="_blank" w:history="1">
        <w:r>
          <w:rPr>
            <w:rStyle w:val="Lienhypertexte"/>
            <w:rFonts w:ascii="Arial" w:hAnsi="Arial" w:cs="Arial"/>
            <w:sz w:val="18"/>
            <w:szCs w:val="18"/>
            <w:u w:val="none"/>
            <w:shd w:val="clear" w:color="auto" w:fill="FFFFFF"/>
          </w:rPr>
          <w:t>R124-6 du c</w:t>
        </w:r>
        <w:r>
          <w:rPr>
            <w:rStyle w:val="Lienhypertexte"/>
            <w:rFonts w:ascii="Arial" w:hAnsi="Arial" w:cs="Arial"/>
            <w:sz w:val="18"/>
            <w:szCs w:val="18"/>
            <w:u w:val="none"/>
            <w:shd w:val="clear" w:color="auto" w:fill="FFFFFF"/>
          </w:rPr>
          <w:t>o</w:t>
        </w:r>
        <w:r>
          <w:rPr>
            <w:rStyle w:val="Lienhypertexte"/>
            <w:rFonts w:ascii="Arial" w:hAnsi="Arial" w:cs="Arial"/>
            <w:sz w:val="18"/>
            <w:szCs w:val="18"/>
            <w:u w:val="none"/>
            <w:shd w:val="clear" w:color="auto" w:fill="FFFFFF"/>
          </w:rPr>
          <w:t>de des procédures civiles d'exécution</w:t>
        </w:r>
      </w:hyperlink>
    </w:p>
    <w:p w:rsidR="00BE211A" w:rsidRDefault="00BE211A" w:rsidP="00BE211A"/>
    <w:p w:rsidR="00BE211A" w:rsidRDefault="00BE211A" w:rsidP="00BE211A">
      <w:r>
        <w:rPr>
          <w:rFonts w:ascii="Arial" w:hAnsi="Arial" w:cs="Arial"/>
          <w:color w:val="262626"/>
          <w:sz w:val="18"/>
          <w:szCs w:val="18"/>
          <w:shd w:val="clear" w:color="auto" w:fill="FFFFFF"/>
        </w:rPr>
        <w:t> </w:t>
      </w:r>
      <w:r>
        <w:rPr>
          <w:noProof/>
          <w:lang w:eastAsia="fr-FR"/>
        </w:rPr>
        <w:drawing>
          <wp:inline distT="0" distB="0" distL="0" distR="0">
            <wp:extent cx="114300" cy="95250"/>
            <wp:effectExtent l="0" t="0" r="0" b="0"/>
            <wp:docPr id="2" name="Image 2" descr="http://media.apce.com/design/front_office_apce/images/newpuce-1/tri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dia.apce.com/design/front_office_apce/images/newpuce-1/triangl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Pr>
          <w:rFonts w:ascii="Arial" w:hAnsi="Arial" w:cs="Arial"/>
          <w:b/>
          <w:bCs/>
          <w:color w:val="262626"/>
          <w:sz w:val="18"/>
          <w:szCs w:val="18"/>
          <w:shd w:val="clear" w:color="auto" w:fill="FFFFFF"/>
        </w:rPr>
        <w:t>Obligations d'informer le créancier :</w:t>
      </w:r>
      <w:r>
        <w:rPr>
          <w:rFonts w:ascii="Arial" w:hAnsi="Arial" w:cs="Arial"/>
          <w:b/>
          <w:bCs/>
          <w:color w:val="262626"/>
          <w:sz w:val="18"/>
          <w:szCs w:val="18"/>
          <w:shd w:val="clear" w:color="auto" w:fill="FFFFFF"/>
        </w:rPr>
        <w:br/>
      </w:r>
      <w:r>
        <w:rPr>
          <w:rFonts w:ascii="Arial" w:hAnsi="Arial" w:cs="Arial"/>
          <w:color w:val="262626"/>
          <w:sz w:val="18"/>
          <w:szCs w:val="18"/>
          <w:shd w:val="clear" w:color="auto" w:fill="FFFFFF"/>
        </w:rPr>
        <w:t>- de la réception d'un paiement même partiel de la part du débiteur et qui n'est pas le fait de l'exécution d'un accord de paiement échelonné déjà connu du créancier,</w:t>
      </w:r>
      <w:r>
        <w:rPr>
          <w:rFonts w:ascii="Arial" w:hAnsi="Arial" w:cs="Arial"/>
          <w:color w:val="262626"/>
          <w:sz w:val="18"/>
          <w:szCs w:val="18"/>
        </w:rPr>
        <w:br/>
      </w:r>
      <w:r>
        <w:rPr>
          <w:rFonts w:ascii="Arial" w:hAnsi="Arial" w:cs="Arial"/>
          <w:color w:val="262626"/>
          <w:sz w:val="18"/>
          <w:szCs w:val="18"/>
          <w:shd w:val="clear" w:color="auto" w:fill="FFFFFF"/>
        </w:rPr>
        <w:t>- de toute proposition du débiteur tendant à s'acquitter de son obligation par un autre moyen que le paiement immédiat de la somme réclamée.</w:t>
      </w:r>
      <w:r>
        <w:rPr>
          <w:rFonts w:ascii="Arial" w:hAnsi="Arial" w:cs="Arial"/>
          <w:color w:val="262626"/>
          <w:sz w:val="18"/>
          <w:szCs w:val="18"/>
        </w:rPr>
        <w:br/>
      </w:r>
      <w:hyperlink r:id="rId15" w:tgtFrame="_blank" w:history="1">
        <w:r>
          <w:rPr>
            <w:rStyle w:val="Lienhypertexte"/>
            <w:rFonts w:ascii="Arial" w:hAnsi="Arial" w:cs="Arial"/>
            <w:sz w:val="18"/>
            <w:szCs w:val="18"/>
            <w:u w:val="none"/>
            <w:shd w:val="clear" w:color="auto" w:fill="FFFFFF"/>
          </w:rPr>
          <w:t>Article R124</w:t>
        </w:r>
        <w:r>
          <w:rPr>
            <w:rStyle w:val="Lienhypertexte"/>
            <w:rFonts w:ascii="Arial" w:hAnsi="Arial" w:cs="Arial"/>
            <w:sz w:val="18"/>
            <w:szCs w:val="18"/>
            <w:u w:val="none"/>
            <w:shd w:val="clear" w:color="auto" w:fill="FFFFFF"/>
          </w:rPr>
          <w:t>-</w:t>
        </w:r>
        <w:r>
          <w:rPr>
            <w:rStyle w:val="Lienhypertexte"/>
            <w:rFonts w:ascii="Arial" w:hAnsi="Arial" w:cs="Arial"/>
            <w:sz w:val="18"/>
            <w:szCs w:val="18"/>
            <w:u w:val="none"/>
            <w:shd w:val="clear" w:color="auto" w:fill="FFFFFF"/>
          </w:rPr>
          <w:t>5 du code des procédures civiles d'exécution</w:t>
        </w:r>
      </w:hyperlink>
    </w:p>
    <w:p w:rsidR="004E19C4" w:rsidRDefault="004E19C4" w:rsidP="00BE211A"/>
    <w:p w:rsidR="004E19C4" w:rsidRPr="006C2143" w:rsidRDefault="004E19C4" w:rsidP="00BE211A">
      <w:pPr>
        <w:rPr>
          <w:rFonts w:ascii="Arial" w:hAnsi="Arial" w:cs="Arial"/>
          <w:color w:val="262626"/>
          <w:sz w:val="18"/>
          <w:szCs w:val="18"/>
          <w:shd w:val="clear" w:color="auto" w:fill="FFFFFF"/>
        </w:rPr>
      </w:pPr>
    </w:p>
    <w:p w:rsidR="004E19C4" w:rsidRPr="006C2143" w:rsidRDefault="004E19C4" w:rsidP="004E19C4">
      <w:pPr>
        <w:pStyle w:val="Corpsdetexte"/>
        <w:numPr>
          <w:ilvl w:val="0"/>
          <w:numId w:val="2"/>
        </w:numPr>
        <w:rPr>
          <w:rFonts w:ascii="Arial" w:eastAsiaTheme="minorHAnsi" w:hAnsi="Arial" w:cs="Arial"/>
          <w:color w:val="262626"/>
          <w:sz w:val="18"/>
          <w:szCs w:val="18"/>
          <w:shd w:val="clear" w:color="auto" w:fill="FFFFFF"/>
          <w:lang w:eastAsia="en-US"/>
        </w:rPr>
      </w:pPr>
      <w:r w:rsidRPr="006C2143">
        <w:rPr>
          <w:rFonts w:ascii="Arial" w:eastAsiaTheme="minorHAnsi" w:hAnsi="Arial" w:cs="Arial"/>
          <w:color w:val="262626"/>
          <w:sz w:val="18"/>
          <w:szCs w:val="18"/>
          <w:shd w:val="clear" w:color="auto" w:fill="FFFFFF"/>
          <w:lang w:eastAsia="en-US"/>
        </w:rPr>
        <w:t xml:space="preserve">Le Mandataire s’engage dans le cadre de sa relation avec les débiteurs à respecter l’image du Mandant. Il s’engage, notamment, à : </w:t>
      </w:r>
    </w:p>
    <w:p w:rsidR="004E19C4" w:rsidRPr="006C2143" w:rsidRDefault="004E19C4" w:rsidP="004E19C4">
      <w:pPr>
        <w:pStyle w:val="Corpsdetexte"/>
        <w:rPr>
          <w:rFonts w:ascii="Arial" w:eastAsiaTheme="minorHAnsi" w:hAnsi="Arial" w:cs="Arial"/>
          <w:color w:val="262626"/>
          <w:sz w:val="18"/>
          <w:szCs w:val="18"/>
          <w:shd w:val="clear" w:color="auto" w:fill="FFFFFF"/>
          <w:lang w:eastAsia="en-US"/>
        </w:rPr>
      </w:pPr>
    </w:p>
    <w:p w:rsidR="004E19C4" w:rsidRPr="006C2143" w:rsidRDefault="004E19C4" w:rsidP="004E19C4">
      <w:pPr>
        <w:pStyle w:val="Corpsdetexte"/>
        <w:numPr>
          <w:ilvl w:val="1"/>
          <w:numId w:val="2"/>
        </w:numPr>
        <w:rPr>
          <w:rFonts w:ascii="Arial" w:eastAsiaTheme="minorHAnsi" w:hAnsi="Arial" w:cs="Arial"/>
          <w:color w:val="262626"/>
          <w:sz w:val="18"/>
          <w:szCs w:val="18"/>
          <w:shd w:val="clear" w:color="auto" w:fill="FFFFFF"/>
          <w:lang w:eastAsia="en-US"/>
        </w:rPr>
      </w:pPr>
      <w:r w:rsidRPr="006C2143">
        <w:rPr>
          <w:rFonts w:ascii="Arial" w:eastAsiaTheme="minorHAnsi" w:hAnsi="Arial" w:cs="Arial"/>
          <w:color w:val="262626"/>
          <w:sz w:val="18"/>
          <w:szCs w:val="18"/>
          <w:shd w:val="clear" w:color="auto" w:fill="FFFFFF"/>
          <w:lang w:eastAsia="en-US"/>
        </w:rPr>
        <w:t xml:space="preserve">s’identifier clairement et sans ambiguïté auprès des débiteurs, </w:t>
      </w:r>
    </w:p>
    <w:p w:rsidR="004E19C4" w:rsidRPr="006C2143" w:rsidRDefault="004E19C4" w:rsidP="004E19C4">
      <w:pPr>
        <w:pStyle w:val="Corpsdetexte"/>
        <w:numPr>
          <w:ilvl w:val="1"/>
          <w:numId w:val="2"/>
        </w:numPr>
        <w:rPr>
          <w:rFonts w:ascii="Arial" w:eastAsiaTheme="minorHAnsi" w:hAnsi="Arial" w:cs="Arial"/>
          <w:color w:val="262626"/>
          <w:sz w:val="18"/>
          <w:szCs w:val="18"/>
          <w:shd w:val="clear" w:color="auto" w:fill="FFFFFF"/>
          <w:lang w:eastAsia="en-US"/>
        </w:rPr>
      </w:pPr>
      <w:r w:rsidRPr="006C2143">
        <w:rPr>
          <w:rFonts w:ascii="Arial" w:eastAsiaTheme="minorHAnsi" w:hAnsi="Arial" w:cs="Arial"/>
          <w:color w:val="262626"/>
          <w:sz w:val="18"/>
          <w:szCs w:val="18"/>
          <w:shd w:val="clear" w:color="auto" w:fill="FFFFFF"/>
          <w:lang w:eastAsia="en-US"/>
        </w:rPr>
        <w:t xml:space="preserve">respecter les personnes ainsi que leur vie privée, </w:t>
      </w:r>
    </w:p>
    <w:p w:rsidR="004E19C4" w:rsidRPr="006C2143" w:rsidRDefault="004E19C4" w:rsidP="004E19C4">
      <w:pPr>
        <w:pStyle w:val="Corpsdetexte"/>
        <w:numPr>
          <w:ilvl w:val="1"/>
          <w:numId w:val="2"/>
        </w:numPr>
        <w:rPr>
          <w:rFonts w:ascii="Arial" w:eastAsiaTheme="minorHAnsi" w:hAnsi="Arial" w:cs="Arial"/>
          <w:color w:val="262626"/>
          <w:sz w:val="18"/>
          <w:szCs w:val="18"/>
          <w:shd w:val="clear" w:color="auto" w:fill="FFFFFF"/>
          <w:lang w:eastAsia="en-US"/>
        </w:rPr>
      </w:pPr>
      <w:r w:rsidRPr="006C2143">
        <w:rPr>
          <w:rFonts w:ascii="Arial" w:eastAsiaTheme="minorHAnsi" w:hAnsi="Arial" w:cs="Arial"/>
          <w:color w:val="262626"/>
          <w:sz w:val="18"/>
          <w:szCs w:val="18"/>
          <w:shd w:val="clear" w:color="auto" w:fill="FFFFFF"/>
          <w:lang w:eastAsia="en-US"/>
        </w:rPr>
        <w:t xml:space="preserve">ne réclamer que le montant des sommes contractuellement et légalement dues, </w:t>
      </w:r>
    </w:p>
    <w:p w:rsidR="004E19C4" w:rsidRPr="006C2143" w:rsidRDefault="004E19C4" w:rsidP="004E19C4">
      <w:pPr>
        <w:pStyle w:val="Corpsdetexte"/>
        <w:numPr>
          <w:ilvl w:val="1"/>
          <w:numId w:val="2"/>
        </w:numPr>
        <w:rPr>
          <w:rFonts w:ascii="Arial" w:eastAsiaTheme="minorHAnsi" w:hAnsi="Arial" w:cs="Arial"/>
          <w:color w:val="262626"/>
          <w:sz w:val="18"/>
          <w:szCs w:val="18"/>
          <w:shd w:val="clear" w:color="auto" w:fill="FFFFFF"/>
          <w:lang w:eastAsia="en-US"/>
        </w:rPr>
      </w:pPr>
      <w:r w:rsidRPr="006C2143">
        <w:rPr>
          <w:rFonts w:ascii="Arial" w:eastAsiaTheme="minorHAnsi" w:hAnsi="Arial" w:cs="Arial"/>
          <w:color w:val="262626"/>
          <w:sz w:val="18"/>
          <w:szCs w:val="18"/>
          <w:shd w:val="clear" w:color="auto" w:fill="FFFFFF"/>
          <w:lang w:eastAsia="en-US"/>
        </w:rPr>
        <w:t xml:space="preserve">rechercher, dans la mesure du possible, un accord amiable avec les débiteurs, </w:t>
      </w:r>
    </w:p>
    <w:p w:rsidR="004E19C4" w:rsidRPr="006C2143" w:rsidRDefault="004E19C4" w:rsidP="004E19C4">
      <w:pPr>
        <w:pStyle w:val="Corpsdetexte"/>
        <w:numPr>
          <w:ilvl w:val="1"/>
          <w:numId w:val="2"/>
        </w:numPr>
        <w:rPr>
          <w:rFonts w:ascii="Arial" w:eastAsiaTheme="minorHAnsi" w:hAnsi="Arial" w:cs="Arial"/>
          <w:color w:val="262626"/>
          <w:sz w:val="18"/>
          <w:szCs w:val="18"/>
          <w:shd w:val="clear" w:color="auto" w:fill="FFFFFF"/>
          <w:lang w:eastAsia="en-US"/>
        </w:rPr>
      </w:pPr>
      <w:r w:rsidRPr="006C2143">
        <w:rPr>
          <w:rFonts w:ascii="Arial" w:eastAsiaTheme="minorHAnsi" w:hAnsi="Arial" w:cs="Arial"/>
          <w:color w:val="262626"/>
          <w:sz w:val="18"/>
          <w:szCs w:val="18"/>
          <w:shd w:val="clear" w:color="auto" w:fill="FFFFFF"/>
          <w:lang w:eastAsia="en-US"/>
        </w:rPr>
        <w:t>prévenir les débiteurs avant toute procédure judiciaire.</w:t>
      </w:r>
    </w:p>
    <w:p w:rsidR="004E19C4" w:rsidRPr="006C2143" w:rsidRDefault="004E19C4" w:rsidP="00BE211A">
      <w:pPr>
        <w:rPr>
          <w:rFonts w:ascii="Arial" w:hAnsi="Arial" w:cs="Arial"/>
          <w:color w:val="262626"/>
          <w:sz w:val="18"/>
          <w:szCs w:val="18"/>
          <w:shd w:val="clear" w:color="auto" w:fill="FFFFFF"/>
        </w:rPr>
      </w:pPr>
    </w:p>
    <w:p w:rsidR="004E19C4" w:rsidRDefault="004E19C4" w:rsidP="00BE211A">
      <w:r>
        <w:t>FIGEC !!!</w:t>
      </w:r>
    </w:p>
    <w:p w:rsidR="004E19C4" w:rsidRDefault="004E19C4" w:rsidP="00BE211A"/>
    <w:p w:rsidR="0039389E" w:rsidRPr="0039389E" w:rsidRDefault="0039389E" w:rsidP="0039389E">
      <w:pPr>
        <w:pStyle w:val="NormalWeb"/>
        <w:shd w:val="clear" w:color="auto" w:fill="FFFFFF"/>
        <w:spacing w:before="120" w:after="120" w:line="336" w:lineRule="atLeast"/>
        <w:rPr>
          <w:rFonts w:ascii="Arial" w:eastAsia="Times New Roman" w:hAnsi="Arial" w:cs="Arial"/>
          <w:color w:val="252525"/>
          <w:sz w:val="21"/>
          <w:szCs w:val="21"/>
          <w:lang w:eastAsia="fr-FR"/>
        </w:rPr>
      </w:pPr>
      <w:r>
        <w:rPr>
          <w:rFonts w:ascii="Arial" w:hAnsi="Arial" w:cs="Arial"/>
          <w:color w:val="000000"/>
          <w:sz w:val="21"/>
          <w:szCs w:val="21"/>
          <w:shd w:val="clear" w:color="auto" w:fill="FFFFFF"/>
        </w:rPr>
        <w:t>Délais de paiement: loi LME (loi de modernisation de l'économie du 4 août 2008) et pénalités de retard</w:t>
      </w:r>
      <w:r>
        <w:rPr>
          <w:rFonts w:ascii="Arial" w:hAnsi="Arial" w:cs="Arial"/>
          <w:color w:val="000000"/>
          <w:sz w:val="21"/>
          <w:szCs w:val="21"/>
        </w:rPr>
        <w:br/>
      </w:r>
      <w:r w:rsidRPr="0039389E">
        <w:rPr>
          <w:rFonts w:ascii="Arial" w:eastAsia="Times New Roman" w:hAnsi="Arial" w:cs="Arial"/>
          <w:color w:val="252525"/>
          <w:sz w:val="21"/>
          <w:szCs w:val="21"/>
          <w:lang w:eastAsia="fr-FR"/>
        </w:rPr>
        <w:t>Plafonnement des délais de paiement à soixante jours (identifiable sur des factures par la date d'échéance) afin de réduire le </w:t>
      </w:r>
      <w:hyperlink r:id="rId16" w:tooltip="Crédit inter-entreprises" w:history="1">
        <w:r w:rsidRPr="0039389E">
          <w:rPr>
            <w:rFonts w:ascii="Arial" w:eastAsia="Times New Roman" w:hAnsi="Arial" w:cs="Arial"/>
            <w:color w:val="0B0080"/>
            <w:sz w:val="21"/>
            <w:szCs w:val="21"/>
            <w:lang w:eastAsia="fr-FR"/>
          </w:rPr>
          <w:t>Crédit inter-entreprises</w:t>
        </w:r>
      </w:hyperlink>
      <w:r w:rsidRPr="0039389E">
        <w:rPr>
          <w:rFonts w:ascii="Arial" w:eastAsia="Times New Roman" w:hAnsi="Arial" w:cs="Arial"/>
          <w:color w:val="252525"/>
          <w:sz w:val="21"/>
          <w:szCs w:val="21"/>
          <w:lang w:eastAsia="fr-FR"/>
        </w:rPr>
        <w:t>. Pratiquement, la LME impose que les délais de paiement doivent être au maximum de 60 jours nets ou de 45 jours fin de mois à compter de la date d’émission de la facture. En cas d’absence de délais de paiement indiqués dans les Conditions Générales de Vente (CGV), le délai supplétif est de 30 jours à compter de la date de livraison de la marchandise ou de la réalisation de la prestation de service. La loi doit être appliquée dans tous ses aspects :</w:t>
      </w:r>
    </w:p>
    <w:p w:rsidR="0039389E" w:rsidRPr="0039389E" w:rsidRDefault="0039389E" w:rsidP="0039389E">
      <w:pPr>
        <w:numPr>
          <w:ilvl w:val="0"/>
          <w:numId w:val="3"/>
        </w:numPr>
        <w:shd w:val="clear" w:color="auto" w:fill="FFFFFF"/>
        <w:spacing w:before="100" w:beforeAutospacing="1" w:after="24" w:line="360" w:lineRule="atLeast"/>
        <w:ind w:left="384"/>
        <w:rPr>
          <w:rFonts w:ascii="Arial" w:eastAsia="Times New Roman" w:hAnsi="Arial" w:cs="Arial"/>
          <w:color w:val="252525"/>
          <w:sz w:val="21"/>
          <w:szCs w:val="21"/>
          <w:lang w:eastAsia="fr-FR"/>
        </w:rPr>
      </w:pPr>
      <w:r w:rsidRPr="0039389E">
        <w:rPr>
          <w:rFonts w:ascii="Arial" w:eastAsia="Times New Roman" w:hAnsi="Arial" w:cs="Arial"/>
          <w:color w:val="252525"/>
          <w:sz w:val="21"/>
          <w:szCs w:val="21"/>
          <w:lang w:eastAsia="fr-FR"/>
        </w:rPr>
        <w:t>raccourcissement des délais de paiement</w:t>
      </w:r>
    </w:p>
    <w:p w:rsidR="0039389E" w:rsidRPr="0039389E" w:rsidRDefault="0039389E" w:rsidP="0039389E">
      <w:pPr>
        <w:numPr>
          <w:ilvl w:val="0"/>
          <w:numId w:val="3"/>
        </w:numPr>
        <w:shd w:val="clear" w:color="auto" w:fill="FFFFFF"/>
        <w:spacing w:before="100" w:beforeAutospacing="1" w:after="24" w:line="360" w:lineRule="atLeast"/>
        <w:ind w:left="384"/>
        <w:rPr>
          <w:rFonts w:ascii="Arial" w:eastAsia="Times New Roman" w:hAnsi="Arial" w:cs="Arial"/>
          <w:color w:val="252525"/>
          <w:sz w:val="21"/>
          <w:szCs w:val="21"/>
          <w:lang w:eastAsia="fr-FR"/>
        </w:rPr>
      </w:pPr>
      <w:r w:rsidRPr="0039389E">
        <w:rPr>
          <w:rFonts w:ascii="Arial" w:eastAsia="Times New Roman" w:hAnsi="Arial" w:cs="Arial"/>
          <w:color w:val="252525"/>
          <w:sz w:val="21"/>
          <w:szCs w:val="21"/>
          <w:lang w:eastAsia="fr-FR"/>
        </w:rPr>
        <w:t>pénalités à payer spontanément par le débiteur non respectueux de la loi</w:t>
      </w:r>
    </w:p>
    <w:p w:rsidR="0039389E" w:rsidRPr="0039389E" w:rsidRDefault="0039389E" w:rsidP="0039389E">
      <w:pPr>
        <w:numPr>
          <w:ilvl w:val="0"/>
          <w:numId w:val="3"/>
        </w:numPr>
        <w:shd w:val="clear" w:color="auto" w:fill="FFFFFF"/>
        <w:spacing w:before="100" w:beforeAutospacing="1" w:after="24" w:line="360" w:lineRule="atLeast"/>
        <w:ind w:left="384"/>
        <w:rPr>
          <w:rFonts w:ascii="Arial" w:eastAsia="Times New Roman" w:hAnsi="Arial" w:cs="Arial"/>
          <w:color w:val="252525"/>
          <w:sz w:val="21"/>
          <w:szCs w:val="21"/>
          <w:lang w:eastAsia="fr-FR"/>
        </w:rPr>
      </w:pPr>
      <w:r w:rsidRPr="0039389E">
        <w:rPr>
          <w:rFonts w:ascii="Arial" w:eastAsia="Times New Roman" w:hAnsi="Arial" w:cs="Arial"/>
          <w:color w:val="252525"/>
          <w:sz w:val="21"/>
          <w:szCs w:val="21"/>
          <w:lang w:eastAsia="fr-FR"/>
        </w:rPr>
        <w:t>sanctions pénales et civiles.</w:t>
      </w:r>
    </w:p>
    <w:p w:rsidR="0039389E" w:rsidRPr="0039389E" w:rsidRDefault="0039389E" w:rsidP="0039389E">
      <w:pPr>
        <w:shd w:val="clear" w:color="auto" w:fill="FFFFFF"/>
        <w:spacing w:before="120" w:after="120" w:line="336" w:lineRule="atLeast"/>
        <w:rPr>
          <w:rFonts w:ascii="Arial" w:eastAsia="Times New Roman" w:hAnsi="Arial" w:cs="Arial"/>
          <w:color w:val="252525"/>
          <w:sz w:val="21"/>
          <w:szCs w:val="21"/>
          <w:lang w:eastAsia="fr-FR"/>
        </w:rPr>
      </w:pPr>
      <w:r w:rsidRPr="0039389E">
        <w:rPr>
          <w:rFonts w:ascii="Arial" w:eastAsia="Times New Roman" w:hAnsi="Arial" w:cs="Arial"/>
          <w:color w:val="252525"/>
          <w:sz w:val="21"/>
          <w:szCs w:val="21"/>
          <w:lang w:eastAsia="fr-FR"/>
        </w:rPr>
        <w:t>Elle est d'ordre public, elle s'applique à tous les acteurs économiques quels qu’ils soient. Des délais de transition sectorielle peuvent être définis par accord entre les organisations représentatives du secteur, validés par l'administration et publiés au journal officiel.</w:t>
      </w:r>
    </w:p>
    <w:p w:rsidR="0039389E" w:rsidRDefault="0039389E" w:rsidP="00BE211A"/>
    <w:p w:rsidR="004C0FFF" w:rsidRPr="004C0FFF" w:rsidRDefault="004C0FFF" w:rsidP="004C0FFF">
      <w:pPr>
        <w:shd w:val="clear" w:color="auto" w:fill="FFFFFF"/>
        <w:spacing w:after="105" w:line="240" w:lineRule="auto"/>
        <w:outlineLvl w:val="2"/>
        <w:rPr>
          <w:rFonts w:ascii="Arial" w:eastAsia="Times New Roman" w:hAnsi="Arial" w:cs="Arial"/>
          <w:b/>
          <w:bCs/>
          <w:color w:val="000000"/>
          <w:sz w:val="31"/>
          <w:szCs w:val="31"/>
          <w:lang w:eastAsia="fr-FR"/>
        </w:rPr>
      </w:pPr>
      <w:r w:rsidRPr="004C0FFF">
        <w:rPr>
          <w:rFonts w:ascii="Arial" w:eastAsia="Times New Roman" w:hAnsi="Arial" w:cs="Arial"/>
          <w:b/>
          <w:bCs/>
          <w:color w:val="000000"/>
          <w:sz w:val="31"/>
          <w:szCs w:val="31"/>
          <w:lang w:eastAsia="fr-FR"/>
        </w:rPr>
        <w:t>Pénalités de retard</w:t>
      </w:r>
    </w:p>
    <w:p w:rsidR="004C0FFF" w:rsidRPr="004C0FFF" w:rsidRDefault="004C0FFF" w:rsidP="004C0FFF">
      <w:pPr>
        <w:shd w:val="clear" w:color="auto" w:fill="FFFFFF"/>
        <w:spacing w:after="150" w:line="240" w:lineRule="auto"/>
        <w:rPr>
          <w:rFonts w:ascii="Arial" w:eastAsia="Times New Roman" w:hAnsi="Arial" w:cs="Arial"/>
          <w:color w:val="000000"/>
          <w:sz w:val="20"/>
          <w:szCs w:val="20"/>
          <w:lang w:eastAsia="fr-FR"/>
        </w:rPr>
      </w:pPr>
      <w:r w:rsidRPr="004C0FFF">
        <w:rPr>
          <w:rFonts w:ascii="Arial" w:eastAsia="Times New Roman" w:hAnsi="Arial" w:cs="Arial"/>
          <w:color w:val="000000"/>
          <w:sz w:val="20"/>
          <w:szCs w:val="20"/>
          <w:lang w:eastAsia="fr-FR"/>
        </w:rPr>
        <w:lastRenderedPageBreak/>
        <w:t>Les CGV doivent également préciser les modalités d'application et le taux d'intérêt des pénalités dues en cas de retard de paiement (si le paiement intervient après la date mentionnée sur la facture).</w:t>
      </w:r>
    </w:p>
    <w:p w:rsidR="004C0FFF" w:rsidRDefault="004C0FFF" w:rsidP="004C0FFF">
      <w:pPr>
        <w:shd w:val="clear" w:color="auto" w:fill="FFFFFF"/>
        <w:spacing w:after="0" w:line="240" w:lineRule="auto"/>
        <w:rPr>
          <w:rFonts w:ascii="Arial" w:eastAsia="Times New Roman" w:hAnsi="Arial" w:cs="Arial"/>
          <w:color w:val="000000"/>
          <w:sz w:val="20"/>
          <w:szCs w:val="20"/>
          <w:lang w:eastAsia="fr-FR"/>
        </w:rPr>
      </w:pPr>
      <w:r w:rsidRPr="004C0FFF">
        <w:rPr>
          <w:rFonts w:ascii="Arial" w:eastAsia="Times New Roman" w:hAnsi="Arial" w:cs="Arial"/>
          <w:color w:val="000000"/>
          <w:sz w:val="20"/>
          <w:szCs w:val="20"/>
          <w:lang w:eastAsia="fr-FR"/>
        </w:rPr>
        <w:t>Le taux d'intérêt prévu par les CGV correspond généralement au </w:t>
      </w:r>
      <w:hyperlink r:id="rId17" w:history="1">
        <w:r w:rsidRPr="004C0FFF">
          <w:rPr>
            <w:rFonts w:ascii="Arial" w:eastAsia="Times New Roman" w:hAnsi="Arial" w:cs="Arial"/>
            <w:color w:val="002884"/>
            <w:sz w:val="20"/>
            <w:szCs w:val="20"/>
            <w:u w:val="single"/>
            <w:lang w:eastAsia="fr-FR"/>
          </w:rPr>
          <w:t>taux directeur</w:t>
        </w:r>
      </w:hyperlink>
      <w:r w:rsidRPr="004C0FFF">
        <w:rPr>
          <w:rFonts w:ascii="Arial" w:eastAsia="Times New Roman" w:hAnsi="Arial" w:cs="Arial"/>
          <w:color w:val="000000"/>
          <w:sz w:val="20"/>
          <w:szCs w:val="20"/>
          <w:lang w:eastAsia="fr-FR"/>
        </w:rPr>
        <w:t xml:space="preserve"> (taux de refinancement ou </w:t>
      </w:r>
      <w:proofErr w:type="spellStart"/>
      <w:r w:rsidRPr="004C0FFF">
        <w:rPr>
          <w:rFonts w:ascii="Arial" w:eastAsia="Times New Roman" w:hAnsi="Arial" w:cs="Arial"/>
          <w:color w:val="000000"/>
          <w:sz w:val="20"/>
          <w:szCs w:val="20"/>
          <w:lang w:eastAsia="fr-FR"/>
        </w:rPr>
        <w:t>Refi</w:t>
      </w:r>
      <w:proofErr w:type="spellEnd"/>
      <w:r w:rsidRPr="004C0FFF">
        <w:rPr>
          <w:rFonts w:ascii="Arial" w:eastAsia="Times New Roman" w:hAnsi="Arial" w:cs="Arial"/>
          <w:color w:val="000000"/>
          <w:sz w:val="20"/>
          <w:szCs w:val="20"/>
          <w:lang w:eastAsia="fr-FR"/>
        </w:rPr>
        <w:t>) semestriel de la Banque centrale européenne (BCE), en vigueur au 1</w:t>
      </w:r>
      <w:r w:rsidRPr="004C0FFF">
        <w:rPr>
          <w:rFonts w:ascii="Arial" w:eastAsia="Times New Roman" w:hAnsi="Arial" w:cs="Arial"/>
          <w:color w:val="000000"/>
          <w:sz w:val="16"/>
          <w:szCs w:val="16"/>
          <w:vertAlign w:val="superscript"/>
          <w:lang w:eastAsia="fr-FR"/>
        </w:rPr>
        <w:t>er</w:t>
      </w:r>
      <w:r w:rsidRPr="004C0FFF">
        <w:rPr>
          <w:rFonts w:ascii="Arial" w:eastAsia="Times New Roman" w:hAnsi="Arial" w:cs="Arial"/>
          <w:color w:val="000000"/>
          <w:sz w:val="20"/>
          <w:szCs w:val="20"/>
          <w:lang w:eastAsia="fr-FR"/>
        </w:rPr>
        <w:t> janvier ou au 1</w:t>
      </w:r>
      <w:r w:rsidRPr="004C0FFF">
        <w:rPr>
          <w:rFonts w:ascii="Arial" w:eastAsia="Times New Roman" w:hAnsi="Arial" w:cs="Arial"/>
          <w:color w:val="000000"/>
          <w:sz w:val="16"/>
          <w:szCs w:val="16"/>
          <w:vertAlign w:val="superscript"/>
          <w:lang w:eastAsia="fr-FR"/>
        </w:rPr>
        <w:t>er</w:t>
      </w:r>
      <w:r w:rsidRPr="004C0FFF">
        <w:rPr>
          <w:rFonts w:ascii="Arial" w:eastAsia="Times New Roman" w:hAnsi="Arial" w:cs="Arial"/>
          <w:color w:val="000000"/>
          <w:sz w:val="20"/>
          <w:szCs w:val="20"/>
          <w:lang w:eastAsia="fr-FR"/>
        </w:rPr>
        <w:t> juillet, majoré de 10 points :</w:t>
      </w:r>
    </w:p>
    <w:p w:rsidR="004C0FFF" w:rsidRPr="004C0FFF" w:rsidRDefault="004C0FFF" w:rsidP="004C0FFF">
      <w:pPr>
        <w:shd w:val="clear" w:color="auto" w:fill="FFFFFF"/>
        <w:spacing w:after="0" w:line="240" w:lineRule="auto"/>
        <w:rPr>
          <w:rFonts w:ascii="Arial" w:eastAsia="Times New Roman" w:hAnsi="Arial" w:cs="Arial"/>
          <w:color w:val="000000"/>
          <w:sz w:val="20"/>
          <w:szCs w:val="20"/>
          <w:lang w:eastAsia="fr-FR"/>
        </w:rPr>
      </w:pPr>
    </w:p>
    <w:p w:rsidR="0039389E" w:rsidRDefault="004C0FFF" w:rsidP="00BE211A">
      <w:r>
        <w:rPr>
          <w:rFonts w:ascii="Arial" w:hAnsi="Arial" w:cs="Arial"/>
          <w:color w:val="000000"/>
          <w:sz w:val="20"/>
          <w:szCs w:val="20"/>
          <w:shd w:val="clear" w:color="auto" w:fill="FFFFFF"/>
        </w:rPr>
        <w:t>Mais il peut lui être inférieur, sans toutefois être en-deçà du taux minimal de</w:t>
      </w:r>
      <w:r w:rsidR="00D4602E">
        <w:rPr>
          <w:rFonts w:ascii="Arial" w:hAnsi="Arial" w:cs="Arial"/>
          <w:color w:val="000000"/>
          <w:sz w:val="20"/>
          <w:szCs w:val="20"/>
          <w:shd w:val="clear" w:color="auto" w:fill="FFFFFF"/>
        </w:rPr>
        <w:t xml:space="preserve"> </w:t>
      </w:r>
      <w:r>
        <w:rPr>
          <w:rStyle w:val="lev"/>
          <w:rFonts w:ascii="Arial" w:hAnsi="Arial" w:cs="Arial"/>
          <w:color w:val="000000"/>
          <w:sz w:val="20"/>
          <w:szCs w:val="20"/>
          <w:shd w:val="clear" w:color="auto" w:fill="FFFFFF"/>
        </w:rPr>
        <w:t>0,12 %</w:t>
      </w:r>
      <w:r>
        <w:rPr>
          <w:rFonts w:ascii="Arial" w:hAnsi="Arial" w:cs="Arial"/>
          <w:color w:val="000000"/>
          <w:sz w:val="20"/>
          <w:szCs w:val="20"/>
          <w:shd w:val="clear" w:color="auto" w:fill="FFFFFF"/>
        </w:rPr>
        <w:t>, correspondant à 3 fois le</w:t>
      </w:r>
      <w:r>
        <w:rPr>
          <w:rStyle w:val="apple-converted-space"/>
          <w:rFonts w:ascii="Arial" w:hAnsi="Arial" w:cs="Arial"/>
          <w:color w:val="000000"/>
          <w:sz w:val="20"/>
          <w:szCs w:val="20"/>
          <w:shd w:val="clear" w:color="auto" w:fill="FFFFFF"/>
        </w:rPr>
        <w:t> </w:t>
      </w:r>
      <w:hyperlink r:id="rId18" w:history="1">
        <w:r>
          <w:rPr>
            <w:rStyle w:val="Lienhypertexte"/>
            <w:rFonts w:ascii="Arial" w:hAnsi="Arial" w:cs="Arial"/>
            <w:color w:val="002884"/>
            <w:sz w:val="20"/>
            <w:szCs w:val="20"/>
            <w:shd w:val="clear" w:color="auto" w:fill="FFFFFF"/>
          </w:rPr>
          <w:t>taux de l'intérêt légal</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3 x 0,04 % en</w:t>
      </w:r>
      <w:r>
        <w:rPr>
          <w:rStyle w:val="apple-converted-space"/>
          <w:rFonts w:ascii="Arial" w:hAnsi="Arial" w:cs="Arial"/>
          <w:color w:val="000000"/>
          <w:sz w:val="20"/>
          <w:szCs w:val="20"/>
          <w:shd w:val="clear" w:color="auto" w:fill="FFFFFF"/>
        </w:rPr>
        <w:t> </w:t>
      </w:r>
      <w:r w:rsidR="0039389E">
        <w:rPr>
          <w:rFonts w:ascii="Arial" w:hAnsi="Arial" w:cs="Arial"/>
          <w:color w:val="000000"/>
          <w:sz w:val="21"/>
          <w:szCs w:val="21"/>
        </w:rPr>
        <w:br/>
      </w:r>
    </w:p>
    <w:p w:rsidR="004C0FFF" w:rsidRDefault="004C0FFF" w:rsidP="00BE211A">
      <w:r>
        <w:rPr>
          <w:rFonts w:ascii="Arial" w:hAnsi="Arial" w:cs="Arial"/>
          <w:color w:val="000000"/>
          <w:sz w:val="20"/>
          <w:szCs w:val="20"/>
          <w:shd w:val="clear" w:color="auto" w:fill="FFFFFF"/>
        </w:rPr>
        <w:t>Il est appliqué sur le montant</w:t>
      </w:r>
      <w:r>
        <w:rPr>
          <w:rStyle w:val="apple-converted-space"/>
          <w:rFonts w:ascii="Arial" w:hAnsi="Arial" w:cs="Arial"/>
          <w:color w:val="000000"/>
          <w:sz w:val="20"/>
          <w:szCs w:val="20"/>
          <w:shd w:val="clear" w:color="auto" w:fill="FFFFFF"/>
        </w:rPr>
        <w:t> </w:t>
      </w:r>
      <w:hyperlink r:id="rId19" w:anchor="R24408" w:history="1">
        <w:r>
          <w:rPr>
            <w:rStyle w:val="Lienhypertexte"/>
            <w:color w:val="000000"/>
          </w:rPr>
          <w:t>TTC</w:t>
        </w:r>
      </w:hyperlink>
      <w:r>
        <w:rPr>
          <w:rStyle w:val="apple-converted-space"/>
        </w:rPr>
        <w:t> </w:t>
      </w:r>
      <w:r>
        <w:rPr>
          <w:rFonts w:ascii="Arial" w:hAnsi="Arial" w:cs="Arial"/>
          <w:color w:val="000000"/>
          <w:sz w:val="20"/>
          <w:szCs w:val="20"/>
          <w:shd w:val="clear" w:color="auto" w:fill="FFFFFF"/>
        </w:rPr>
        <w:t>de la facture.</w:t>
      </w:r>
    </w:p>
    <w:p w:rsidR="0039389E" w:rsidRDefault="004C0FFF" w:rsidP="00BE211A">
      <w:pPr>
        <w:rPr>
          <w:rFonts w:ascii="Arial" w:hAnsi="Arial" w:cs="Arial"/>
          <w:color w:val="000000"/>
          <w:sz w:val="20"/>
          <w:szCs w:val="20"/>
          <w:shd w:val="clear" w:color="auto" w:fill="FFFFFF"/>
        </w:rPr>
      </w:pPr>
      <w:r>
        <w:rPr>
          <w:rFonts w:ascii="Arial" w:hAnsi="Arial" w:cs="Arial"/>
          <w:color w:val="000000"/>
          <w:sz w:val="20"/>
          <w:szCs w:val="20"/>
          <w:shd w:val="clear" w:color="auto" w:fill="FFFFFF"/>
        </w:rPr>
        <w:t>Les pénalités sont exigibles sans qu'un rappel ne soit nécessaire : l'envoi d'une lettre recommandée n'est pas requis pour déclencher le droit de percevoir des pénalités de retard.</w:t>
      </w:r>
    </w:p>
    <w:p w:rsidR="004C0FFF" w:rsidRPr="004C0FFF" w:rsidRDefault="004C0FFF" w:rsidP="004C0FFF">
      <w:pPr>
        <w:shd w:val="clear" w:color="auto" w:fill="FFFFFF"/>
        <w:spacing w:after="0" w:line="240" w:lineRule="auto"/>
        <w:rPr>
          <w:rFonts w:ascii="Arial" w:eastAsia="Times New Roman" w:hAnsi="Arial" w:cs="Arial"/>
          <w:color w:val="000000"/>
          <w:sz w:val="20"/>
          <w:szCs w:val="20"/>
          <w:lang w:eastAsia="fr-FR"/>
        </w:rPr>
      </w:pPr>
      <w:r w:rsidRPr="004C0FFF">
        <w:rPr>
          <w:rFonts w:ascii="Arial" w:eastAsia="Times New Roman" w:hAnsi="Arial" w:cs="Arial"/>
          <w:color w:val="000000"/>
          <w:sz w:val="20"/>
          <w:szCs w:val="20"/>
          <w:lang w:eastAsia="fr-FR"/>
        </w:rPr>
        <w:t>Elles courent dès le jour suivant la date de règlement portée sur la facture ou, à défaut, le 31</w:t>
      </w:r>
      <w:r w:rsidRPr="004C0FFF">
        <w:rPr>
          <w:rFonts w:ascii="Arial" w:eastAsia="Times New Roman" w:hAnsi="Arial" w:cs="Arial"/>
          <w:color w:val="000000"/>
          <w:sz w:val="16"/>
          <w:szCs w:val="16"/>
          <w:vertAlign w:val="superscript"/>
          <w:lang w:eastAsia="fr-FR"/>
        </w:rPr>
        <w:t>e</w:t>
      </w:r>
      <w:r w:rsidRPr="004C0FFF">
        <w:rPr>
          <w:rFonts w:ascii="Arial" w:eastAsia="Times New Roman" w:hAnsi="Arial" w:cs="Arial"/>
          <w:color w:val="000000"/>
          <w:sz w:val="20"/>
          <w:szCs w:val="20"/>
          <w:lang w:eastAsia="fr-FR"/>
        </w:rPr>
        <w:t> jour suivant la date de réception des marchandises ou de la fin de l'exécution de la prestation de service.</w:t>
      </w:r>
    </w:p>
    <w:p w:rsidR="004C0FFF" w:rsidRPr="004C0FFF" w:rsidRDefault="004C0FFF" w:rsidP="004C0FFF">
      <w:pPr>
        <w:shd w:val="clear" w:color="auto" w:fill="FFFFFF"/>
        <w:spacing w:after="0" w:line="240" w:lineRule="auto"/>
        <w:rPr>
          <w:rFonts w:ascii="Arial" w:eastAsia="Times New Roman" w:hAnsi="Arial" w:cs="Arial"/>
          <w:color w:val="000000"/>
          <w:sz w:val="20"/>
          <w:szCs w:val="20"/>
          <w:lang w:eastAsia="fr-FR"/>
        </w:rPr>
      </w:pPr>
      <w:r w:rsidRPr="004C0FFF">
        <w:rPr>
          <w:rFonts w:ascii="Arial" w:eastAsia="Times New Roman" w:hAnsi="Arial" w:cs="Arial"/>
          <w:color w:val="000000"/>
          <w:sz w:val="20"/>
          <w:szCs w:val="20"/>
          <w:lang w:eastAsia="fr-FR"/>
        </w:rPr>
        <w:t>Elles ne sont pas soumises à </w:t>
      </w:r>
      <w:hyperlink r:id="rId20" w:anchor="R24379" w:history="1">
        <w:r w:rsidRPr="004C0FFF">
          <w:rPr>
            <w:rFonts w:ascii="Arial" w:eastAsia="Times New Roman" w:hAnsi="Arial" w:cs="Arial"/>
            <w:color w:val="000000"/>
            <w:sz w:val="20"/>
            <w:szCs w:val="20"/>
            <w:u w:val="single"/>
            <w:lang w:eastAsia="fr-FR"/>
          </w:rPr>
          <w:t>TVA</w:t>
        </w:r>
      </w:hyperlink>
      <w:r w:rsidRPr="004C0FFF">
        <w:rPr>
          <w:rFonts w:ascii="Arial" w:eastAsia="Times New Roman" w:hAnsi="Arial" w:cs="Arial"/>
          <w:color w:val="000000"/>
          <w:sz w:val="20"/>
          <w:szCs w:val="20"/>
          <w:lang w:eastAsia="fr-FR"/>
        </w:rPr>
        <w:t> .</w:t>
      </w:r>
    </w:p>
    <w:p w:rsidR="004C0FFF" w:rsidRDefault="004C0FFF" w:rsidP="00BE211A"/>
    <w:p w:rsidR="0039389E" w:rsidRDefault="0039389E" w:rsidP="00BE211A"/>
    <w:p w:rsidR="004E19C4" w:rsidRDefault="004E19C4" w:rsidP="004E19C4">
      <w:r>
        <w:t>Indemnités forfaitaire de 40 € pour frais de Recouvrement (uniquement entre professionnels</w:t>
      </w:r>
      <w:r w:rsidR="004C0FFF">
        <w:t xml:space="preserve"> hors activités de baux commerciaux et assurances</w:t>
      </w:r>
      <w:r>
        <w:t>):</w:t>
      </w:r>
    </w:p>
    <w:p w:rsidR="004E19C4" w:rsidRDefault="0039389E" w:rsidP="00BE211A">
      <w:r>
        <w:object w:dxaOrig="1535" w:dyaOrig="993">
          <v:shape id="_x0000_i1025" type="#_x0000_t75" style="width:76.5pt;height:49.5pt" o:ole="">
            <v:imagedata r:id="rId21" o:title=""/>
          </v:shape>
          <o:OLEObject Type="Embed" ProgID="AcroExch.Document.11" ShapeID="_x0000_i1025" DrawAspect="Icon" ObjectID="_1474706059" r:id="rId22"/>
        </w:object>
      </w:r>
      <w:r w:rsidR="00D4602E">
        <w:object w:dxaOrig="1535" w:dyaOrig="993">
          <v:shape id="_x0000_i1026" type="#_x0000_t75" style="width:76.5pt;height:49.5pt" o:ole="">
            <v:imagedata r:id="rId23" o:title=""/>
          </v:shape>
          <o:OLEObject Type="Embed" ProgID="AcroExch.Document.11" ShapeID="_x0000_i1026" DrawAspect="Icon" ObjectID="_1474706060" r:id="rId24"/>
        </w:object>
      </w:r>
    </w:p>
    <w:p w:rsidR="004C0FFF" w:rsidRDefault="004C0FFF" w:rsidP="00BE211A"/>
    <w:p w:rsidR="00F9041F" w:rsidRDefault="00F9041F" w:rsidP="00F9041F">
      <w:pPr>
        <w:pStyle w:val="Titre2"/>
        <w:pBdr>
          <w:bottom w:val="single" w:sz="6" w:space="8" w:color="D0D9DF"/>
        </w:pBdr>
        <w:spacing w:before="0" w:after="150"/>
        <w:ind w:left="-225" w:firstLine="150"/>
        <w:rPr>
          <w:rFonts w:ascii="Arial" w:hAnsi="Arial" w:cs="Arial"/>
          <w:color w:val="005985"/>
          <w:sz w:val="29"/>
          <w:szCs w:val="29"/>
        </w:rPr>
      </w:pPr>
      <w:proofErr w:type="gramStart"/>
      <w:r>
        <w:rPr>
          <w:rFonts w:ascii="Arial" w:hAnsi="Arial" w:cs="Arial"/>
          <w:color w:val="005985"/>
          <w:sz w:val="29"/>
          <w:szCs w:val="29"/>
        </w:rPr>
        <w:t>délai</w:t>
      </w:r>
      <w:proofErr w:type="gramEnd"/>
      <w:r>
        <w:rPr>
          <w:rFonts w:ascii="Arial" w:hAnsi="Arial" w:cs="Arial"/>
          <w:color w:val="005985"/>
          <w:sz w:val="29"/>
          <w:szCs w:val="29"/>
        </w:rPr>
        <w:t xml:space="preserve"> de prescription</w:t>
      </w:r>
    </w:p>
    <w:p w:rsidR="00F9041F" w:rsidRDefault="00F9041F" w:rsidP="00BE211A"/>
    <w:p w:rsidR="004C0FFF" w:rsidRDefault="004C0FFF" w:rsidP="00BE211A"/>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56"/>
        <w:gridCol w:w="3123"/>
        <w:gridCol w:w="2493"/>
      </w:tblGrid>
      <w:tr w:rsidR="004C0FFF" w:rsidRPr="004C0FFF" w:rsidTr="004C0FFF">
        <w:trPr>
          <w:tblCellSpacing w:w="15" w:type="dxa"/>
        </w:trPr>
        <w:tc>
          <w:tcPr>
            <w:tcW w:w="0" w:type="auto"/>
            <w:shd w:val="clear" w:color="auto" w:fill="A6D60B"/>
            <w:tcMar>
              <w:top w:w="120" w:type="dxa"/>
              <w:left w:w="120" w:type="dxa"/>
              <w:bottom w:w="120" w:type="dxa"/>
              <w:right w:w="120" w:type="dxa"/>
            </w:tcMar>
            <w:vAlign w:val="center"/>
            <w:hideMark/>
          </w:tcPr>
          <w:p w:rsidR="004C0FFF" w:rsidRPr="004C0FFF" w:rsidRDefault="004C0FFF" w:rsidP="004C0FFF">
            <w:pPr>
              <w:spacing w:after="100" w:afterAutospacing="1" w:line="240" w:lineRule="auto"/>
              <w:jc w:val="center"/>
              <w:rPr>
                <w:rFonts w:ascii="Arial" w:eastAsia="Times New Roman" w:hAnsi="Arial" w:cs="Arial"/>
                <w:b/>
                <w:bCs/>
                <w:color w:val="000000"/>
                <w:sz w:val="20"/>
                <w:szCs w:val="20"/>
                <w:lang w:eastAsia="fr-FR"/>
              </w:rPr>
            </w:pPr>
            <w:bookmarkStart w:id="0" w:name="_GoBack" w:colFirst="0" w:colLast="2"/>
            <w:r w:rsidRPr="004C0FFF">
              <w:rPr>
                <w:rFonts w:ascii="Arial" w:eastAsia="Times New Roman" w:hAnsi="Arial" w:cs="Arial"/>
                <w:b/>
                <w:bCs/>
                <w:color w:val="000000"/>
                <w:sz w:val="20"/>
                <w:szCs w:val="20"/>
                <w:lang w:eastAsia="fr-FR"/>
              </w:rPr>
              <w:t>Créance concernée</w:t>
            </w:r>
          </w:p>
        </w:tc>
        <w:tc>
          <w:tcPr>
            <w:tcW w:w="0" w:type="auto"/>
            <w:shd w:val="clear" w:color="auto" w:fill="A6D60B"/>
            <w:tcMar>
              <w:top w:w="120" w:type="dxa"/>
              <w:left w:w="120" w:type="dxa"/>
              <w:bottom w:w="120" w:type="dxa"/>
              <w:right w:w="120" w:type="dxa"/>
            </w:tcMar>
            <w:vAlign w:val="center"/>
            <w:hideMark/>
          </w:tcPr>
          <w:p w:rsidR="004C0FFF" w:rsidRPr="004C0FFF" w:rsidRDefault="004C0FFF" w:rsidP="004C0FFF">
            <w:pPr>
              <w:spacing w:after="100" w:afterAutospacing="1" w:line="240" w:lineRule="auto"/>
              <w:jc w:val="center"/>
              <w:rPr>
                <w:rFonts w:ascii="Arial" w:eastAsia="Times New Roman" w:hAnsi="Arial" w:cs="Arial"/>
                <w:b/>
                <w:bCs/>
                <w:color w:val="000000"/>
                <w:sz w:val="20"/>
                <w:szCs w:val="20"/>
                <w:lang w:eastAsia="fr-FR"/>
              </w:rPr>
            </w:pPr>
            <w:r w:rsidRPr="004C0FFF">
              <w:rPr>
                <w:rFonts w:ascii="Arial" w:eastAsia="Times New Roman" w:hAnsi="Arial" w:cs="Arial"/>
                <w:b/>
                <w:bCs/>
                <w:color w:val="000000"/>
                <w:sz w:val="20"/>
                <w:szCs w:val="20"/>
                <w:lang w:eastAsia="fr-FR"/>
              </w:rPr>
              <w:t>Entre deux professionnels</w:t>
            </w:r>
          </w:p>
        </w:tc>
        <w:tc>
          <w:tcPr>
            <w:tcW w:w="0" w:type="auto"/>
            <w:shd w:val="clear" w:color="auto" w:fill="A6D60B"/>
            <w:tcMar>
              <w:top w:w="120" w:type="dxa"/>
              <w:left w:w="120" w:type="dxa"/>
              <w:bottom w:w="120" w:type="dxa"/>
              <w:right w:w="120" w:type="dxa"/>
            </w:tcMar>
            <w:vAlign w:val="center"/>
            <w:hideMark/>
          </w:tcPr>
          <w:p w:rsidR="004C0FFF" w:rsidRPr="004C0FFF" w:rsidRDefault="004C0FFF" w:rsidP="004C0FFF">
            <w:pPr>
              <w:spacing w:after="100" w:afterAutospacing="1" w:line="240" w:lineRule="auto"/>
              <w:jc w:val="center"/>
              <w:rPr>
                <w:rFonts w:ascii="Arial" w:eastAsia="Times New Roman" w:hAnsi="Arial" w:cs="Arial"/>
                <w:b/>
                <w:bCs/>
                <w:color w:val="000000"/>
                <w:sz w:val="20"/>
                <w:szCs w:val="20"/>
                <w:lang w:eastAsia="fr-FR"/>
              </w:rPr>
            </w:pPr>
            <w:r w:rsidRPr="004C0FFF">
              <w:rPr>
                <w:rFonts w:ascii="Arial" w:eastAsia="Times New Roman" w:hAnsi="Arial" w:cs="Arial"/>
                <w:b/>
                <w:bCs/>
                <w:color w:val="000000"/>
                <w:sz w:val="20"/>
                <w:szCs w:val="20"/>
                <w:lang w:eastAsia="fr-FR"/>
              </w:rPr>
              <w:t>Entre un professionnel et un particulier</w:t>
            </w:r>
          </w:p>
        </w:tc>
      </w:tr>
      <w:tr w:rsidR="004C0FFF" w:rsidRPr="004C0FFF" w:rsidTr="004C0FFF">
        <w:trPr>
          <w:tblCellSpacing w:w="15" w:type="dxa"/>
        </w:trPr>
        <w:tc>
          <w:tcPr>
            <w:tcW w:w="0" w:type="auto"/>
            <w:shd w:val="clear" w:color="auto" w:fill="F2E699"/>
            <w:tcMar>
              <w:top w:w="120" w:type="dxa"/>
              <w:left w:w="120" w:type="dxa"/>
              <w:bottom w:w="120" w:type="dxa"/>
              <w:right w:w="120" w:type="dxa"/>
            </w:tcMar>
            <w:vAlign w:val="center"/>
            <w:hideMark/>
          </w:tcPr>
          <w:p w:rsidR="004C0FFF" w:rsidRPr="004C0FFF" w:rsidRDefault="004C0FFF" w:rsidP="004C0FFF">
            <w:pPr>
              <w:spacing w:after="100" w:afterAutospacing="1" w:line="240" w:lineRule="auto"/>
              <w:rPr>
                <w:rFonts w:ascii="Arial" w:eastAsia="Times New Roman" w:hAnsi="Arial" w:cs="Arial"/>
                <w:color w:val="000000"/>
                <w:sz w:val="20"/>
                <w:szCs w:val="20"/>
                <w:lang w:eastAsia="fr-FR"/>
              </w:rPr>
            </w:pPr>
            <w:r w:rsidRPr="004C0FFF">
              <w:rPr>
                <w:rFonts w:ascii="Arial" w:eastAsia="Times New Roman" w:hAnsi="Arial" w:cs="Arial"/>
                <w:color w:val="000000"/>
                <w:sz w:val="20"/>
                <w:szCs w:val="20"/>
                <w:lang w:eastAsia="fr-FR"/>
              </w:rPr>
              <w:t>Achat de marchandises</w:t>
            </w:r>
          </w:p>
        </w:tc>
        <w:tc>
          <w:tcPr>
            <w:tcW w:w="0" w:type="auto"/>
            <w:shd w:val="clear" w:color="auto" w:fill="F2E699"/>
            <w:tcMar>
              <w:top w:w="120" w:type="dxa"/>
              <w:left w:w="120" w:type="dxa"/>
              <w:bottom w:w="120" w:type="dxa"/>
              <w:right w:w="120" w:type="dxa"/>
            </w:tcMar>
            <w:vAlign w:val="center"/>
            <w:hideMark/>
          </w:tcPr>
          <w:p w:rsidR="004C0FFF" w:rsidRPr="004C0FFF" w:rsidRDefault="004C0FFF" w:rsidP="004C0FFF">
            <w:pPr>
              <w:spacing w:after="100" w:afterAutospacing="1" w:line="240" w:lineRule="auto"/>
              <w:rPr>
                <w:rFonts w:ascii="Arial" w:eastAsia="Times New Roman" w:hAnsi="Arial" w:cs="Arial"/>
                <w:color w:val="000000"/>
                <w:sz w:val="20"/>
                <w:szCs w:val="20"/>
                <w:lang w:eastAsia="fr-FR"/>
              </w:rPr>
            </w:pPr>
            <w:r w:rsidRPr="004C0FFF">
              <w:rPr>
                <w:rFonts w:ascii="Arial" w:eastAsia="Times New Roman" w:hAnsi="Arial" w:cs="Arial"/>
                <w:color w:val="000000"/>
                <w:sz w:val="20"/>
                <w:szCs w:val="20"/>
                <w:lang w:eastAsia="fr-FR"/>
              </w:rPr>
              <w:t>Paiement au comptant : 5 ans à compter de la date à laquelle le paiement est dû </w:t>
            </w:r>
            <w:r w:rsidRPr="004C0FFF">
              <w:rPr>
                <w:rFonts w:ascii="Arial" w:eastAsia="Times New Roman" w:hAnsi="Arial" w:cs="Arial"/>
                <w:color w:val="000000"/>
                <w:sz w:val="20"/>
                <w:szCs w:val="20"/>
                <w:lang w:eastAsia="fr-FR"/>
              </w:rPr>
              <w:br/>
              <w:t>Paiement à crédit (crédit-bail, avec option d'achat, paiement différé ou fractionné) : 5 ans à compter de chaque mensualité</w:t>
            </w:r>
          </w:p>
        </w:tc>
        <w:tc>
          <w:tcPr>
            <w:tcW w:w="0" w:type="auto"/>
            <w:shd w:val="clear" w:color="auto" w:fill="F2E699"/>
            <w:tcMar>
              <w:top w:w="120" w:type="dxa"/>
              <w:left w:w="120" w:type="dxa"/>
              <w:bottom w:w="120" w:type="dxa"/>
              <w:right w:w="120" w:type="dxa"/>
            </w:tcMar>
            <w:vAlign w:val="center"/>
            <w:hideMark/>
          </w:tcPr>
          <w:p w:rsidR="004C0FFF" w:rsidRPr="004C0FFF" w:rsidRDefault="004C0FFF" w:rsidP="004C0FFF">
            <w:pPr>
              <w:spacing w:after="100" w:afterAutospacing="1" w:line="240" w:lineRule="auto"/>
              <w:rPr>
                <w:rFonts w:ascii="Arial" w:eastAsia="Times New Roman" w:hAnsi="Arial" w:cs="Arial"/>
                <w:color w:val="000000"/>
                <w:sz w:val="20"/>
                <w:szCs w:val="20"/>
                <w:lang w:eastAsia="fr-FR"/>
              </w:rPr>
            </w:pPr>
            <w:r w:rsidRPr="004C0FFF">
              <w:rPr>
                <w:rFonts w:ascii="Arial" w:eastAsia="Times New Roman" w:hAnsi="Arial" w:cs="Arial"/>
                <w:color w:val="000000"/>
                <w:sz w:val="20"/>
                <w:szCs w:val="20"/>
                <w:lang w:eastAsia="fr-FR"/>
              </w:rPr>
              <w:t>Paiement au comptant : 2 ans à compter de la date à laquelle le paiement est dû </w:t>
            </w:r>
            <w:r w:rsidRPr="004C0FFF">
              <w:rPr>
                <w:rFonts w:ascii="Arial" w:eastAsia="Times New Roman" w:hAnsi="Arial" w:cs="Arial"/>
                <w:color w:val="000000"/>
                <w:sz w:val="20"/>
                <w:szCs w:val="20"/>
                <w:lang w:eastAsia="fr-FR"/>
              </w:rPr>
              <w:br/>
              <w:t>Paiement à crédit : 2 ans à compter de chaque mensualité</w:t>
            </w:r>
          </w:p>
        </w:tc>
      </w:tr>
      <w:tr w:rsidR="004C0FFF" w:rsidRPr="004C0FFF" w:rsidTr="004C0FFF">
        <w:trPr>
          <w:tblCellSpacing w:w="15" w:type="dxa"/>
        </w:trPr>
        <w:tc>
          <w:tcPr>
            <w:tcW w:w="0" w:type="auto"/>
            <w:shd w:val="clear" w:color="auto" w:fill="F2E699"/>
            <w:tcMar>
              <w:top w:w="120" w:type="dxa"/>
              <w:left w:w="120" w:type="dxa"/>
              <w:bottom w:w="120" w:type="dxa"/>
              <w:right w:w="120" w:type="dxa"/>
            </w:tcMar>
            <w:vAlign w:val="center"/>
            <w:hideMark/>
          </w:tcPr>
          <w:p w:rsidR="004C0FFF" w:rsidRPr="004C0FFF" w:rsidRDefault="004C0FFF" w:rsidP="004C0FFF">
            <w:pPr>
              <w:spacing w:after="100" w:afterAutospacing="1" w:line="240" w:lineRule="auto"/>
              <w:rPr>
                <w:rFonts w:ascii="Arial" w:eastAsia="Times New Roman" w:hAnsi="Arial" w:cs="Arial"/>
                <w:color w:val="000000"/>
                <w:sz w:val="20"/>
                <w:szCs w:val="20"/>
                <w:lang w:eastAsia="fr-FR"/>
              </w:rPr>
            </w:pPr>
            <w:r w:rsidRPr="004C0FFF">
              <w:rPr>
                <w:rFonts w:ascii="Arial" w:eastAsia="Times New Roman" w:hAnsi="Arial" w:cs="Arial"/>
                <w:color w:val="000000"/>
                <w:sz w:val="20"/>
                <w:szCs w:val="20"/>
                <w:lang w:eastAsia="fr-FR"/>
              </w:rPr>
              <w:t>Prestations de services (entrepreneurs, garagistes, plombiers, médecins...)</w:t>
            </w:r>
          </w:p>
        </w:tc>
        <w:tc>
          <w:tcPr>
            <w:tcW w:w="0" w:type="auto"/>
            <w:shd w:val="clear" w:color="auto" w:fill="F2E699"/>
            <w:tcMar>
              <w:top w:w="120" w:type="dxa"/>
              <w:left w:w="120" w:type="dxa"/>
              <w:bottom w:w="120" w:type="dxa"/>
              <w:right w:w="120" w:type="dxa"/>
            </w:tcMar>
            <w:vAlign w:val="center"/>
            <w:hideMark/>
          </w:tcPr>
          <w:p w:rsidR="004C0FFF" w:rsidRPr="004C0FFF" w:rsidRDefault="004C0FFF" w:rsidP="004C0FFF">
            <w:pPr>
              <w:spacing w:after="100" w:afterAutospacing="1" w:line="240" w:lineRule="auto"/>
              <w:rPr>
                <w:rFonts w:ascii="Arial" w:eastAsia="Times New Roman" w:hAnsi="Arial" w:cs="Arial"/>
                <w:color w:val="000000"/>
                <w:sz w:val="20"/>
                <w:szCs w:val="20"/>
                <w:lang w:eastAsia="fr-FR"/>
              </w:rPr>
            </w:pPr>
            <w:r w:rsidRPr="004C0FFF">
              <w:rPr>
                <w:rFonts w:ascii="Arial" w:eastAsia="Times New Roman" w:hAnsi="Arial" w:cs="Arial"/>
                <w:color w:val="000000"/>
                <w:sz w:val="20"/>
                <w:szCs w:val="20"/>
                <w:lang w:eastAsia="fr-FR"/>
              </w:rPr>
              <w:t>5 ans</w:t>
            </w:r>
          </w:p>
        </w:tc>
        <w:tc>
          <w:tcPr>
            <w:tcW w:w="0" w:type="auto"/>
            <w:shd w:val="clear" w:color="auto" w:fill="F2E699"/>
            <w:tcMar>
              <w:top w:w="120" w:type="dxa"/>
              <w:left w:w="120" w:type="dxa"/>
              <w:bottom w:w="120" w:type="dxa"/>
              <w:right w:w="120" w:type="dxa"/>
            </w:tcMar>
            <w:vAlign w:val="center"/>
            <w:hideMark/>
          </w:tcPr>
          <w:p w:rsidR="004C0FFF" w:rsidRPr="004C0FFF" w:rsidRDefault="004C0FFF" w:rsidP="004C0FFF">
            <w:pPr>
              <w:spacing w:after="100" w:afterAutospacing="1" w:line="240" w:lineRule="auto"/>
              <w:rPr>
                <w:rFonts w:ascii="Arial" w:eastAsia="Times New Roman" w:hAnsi="Arial" w:cs="Arial"/>
                <w:color w:val="000000"/>
                <w:sz w:val="20"/>
                <w:szCs w:val="20"/>
                <w:lang w:eastAsia="fr-FR"/>
              </w:rPr>
            </w:pPr>
            <w:r w:rsidRPr="004C0FFF">
              <w:rPr>
                <w:rFonts w:ascii="Arial" w:eastAsia="Times New Roman" w:hAnsi="Arial" w:cs="Arial"/>
                <w:color w:val="000000"/>
                <w:sz w:val="20"/>
                <w:szCs w:val="20"/>
                <w:lang w:eastAsia="fr-FR"/>
              </w:rPr>
              <w:t>2 ans</w:t>
            </w:r>
          </w:p>
        </w:tc>
      </w:tr>
      <w:tr w:rsidR="004C0FFF" w:rsidRPr="004C0FFF" w:rsidTr="004C0FFF">
        <w:trPr>
          <w:tblCellSpacing w:w="15" w:type="dxa"/>
        </w:trPr>
        <w:tc>
          <w:tcPr>
            <w:tcW w:w="0" w:type="auto"/>
            <w:shd w:val="clear" w:color="auto" w:fill="F2E699"/>
            <w:tcMar>
              <w:top w:w="120" w:type="dxa"/>
              <w:left w:w="120" w:type="dxa"/>
              <w:bottom w:w="120" w:type="dxa"/>
              <w:right w:w="120" w:type="dxa"/>
            </w:tcMar>
            <w:vAlign w:val="center"/>
            <w:hideMark/>
          </w:tcPr>
          <w:p w:rsidR="004C0FFF" w:rsidRPr="004C0FFF" w:rsidRDefault="004C0FFF" w:rsidP="004C0FFF">
            <w:pPr>
              <w:spacing w:after="100" w:afterAutospacing="1" w:line="240" w:lineRule="auto"/>
              <w:rPr>
                <w:rFonts w:ascii="Arial" w:eastAsia="Times New Roman" w:hAnsi="Arial" w:cs="Arial"/>
                <w:color w:val="000000"/>
                <w:sz w:val="20"/>
                <w:szCs w:val="20"/>
                <w:lang w:eastAsia="fr-FR"/>
              </w:rPr>
            </w:pPr>
            <w:r w:rsidRPr="004C0FFF">
              <w:rPr>
                <w:rFonts w:ascii="Arial" w:eastAsia="Times New Roman" w:hAnsi="Arial" w:cs="Arial"/>
                <w:color w:val="000000"/>
                <w:sz w:val="20"/>
                <w:szCs w:val="20"/>
                <w:lang w:eastAsia="fr-FR"/>
              </w:rPr>
              <w:t>Primes d'assurance</w:t>
            </w:r>
          </w:p>
        </w:tc>
        <w:tc>
          <w:tcPr>
            <w:tcW w:w="0" w:type="auto"/>
            <w:shd w:val="clear" w:color="auto" w:fill="F2E699"/>
            <w:tcMar>
              <w:top w:w="120" w:type="dxa"/>
              <w:left w:w="120" w:type="dxa"/>
              <w:bottom w:w="120" w:type="dxa"/>
              <w:right w:w="120" w:type="dxa"/>
            </w:tcMar>
            <w:vAlign w:val="center"/>
            <w:hideMark/>
          </w:tcPr>
          <w:p w:rsidR="004C0FFF" w:rsidRPr="004C0FFF" w:rsidRDefault="004C0FFF" w:rsidP="004C0FFF">
            <w:pPr>
              <w:spacing w:after="100" w:afterAutospacing="1" w:line="240" w:lineRule="auto"/>
              <w:rPr>
                <w:rFonts w:ascii="Arial" w:eastAsia="Times New Roman" w:hAnsi="Arial" w:cs="Arial"/>
                <w:color w:val="000000"/>
                <w:sz w:val="20"/>
                <w:szCs w:val="20"/>
                <w:lang w:eastAsia="fr-FR"/>
              </w:rPr>
            </w:pPr>
            <w:r w:rsidRPr="004C0FFF">
              <w:rPr>
                <w:rFonts w:ascii="Arial" w:eastAsia="Times New Roman" w:hAnsi="Arial" w:cs="Arial"/>
                <w:color w:val="000000"/>
                <w:sz w:val="20"/>
                <w:szCs w:val="20"/>
                <w:lang w:eastAsia="fr-FR"/>
              </w:rPr>
              <w:t>5 ans</w:t>
            </w:r>
          </w:p>
        </w:tc>
        <w:tc>
          <w:tcPr>
            <w:tcW w:w="0" w:type="auto"/>
            <w:shd w:val="clear" w:color="auto" w:fill="F2E699"/>
            <w:tcMar>
              <w:top w:w="120" w:type="dxa"/>
              <w:left w:w="120" w:type="dxa"/>
              <w:bottom w:w="120" w:type="dxa"/>
              <w:right w:w="120" w:type="dxa"/>
            </w:tcMar>
            <w:vAlign w:val="center"/>
            <w:hideMark/>
          </w:tcPr>
          <w:p w:rsidR="004C0FFF" w:rsidRPr="004C0FFF" w:rsidRDefault="004C0FFF" w:rsidP="004C0FFF">
            <w:pPr>
              <w:spacing w:after="100" w:afterAutospacing="1" w:line="240" w:lineRule="auto"/>
              <w:rPr>
                <w:rFonts w:ascii="Arial" w:eastAsia="Times New Roman" w:hAnsi="Arial" w:cs="Arial"/>
                <w:color w:val="000000"/>
                <w:sz w:val="20"/>
                <w:szCs w:val="20"/>
                <w:lang w:eastAsia="fr-FR"/>
              </w:rPr>
            </w:pPr>
            <w:r w:rsidRPr="004C0FFF">
              <w:rPr>
                <w:rFonts w:ascii="Arial" w:eastAsia="Times New Roman" w:hAnsi="Arial" w:cs="Arial"/>
                <w:color w:val="000000"/>
                <w:sz w:val="20"/>
                <w:szCs w:val="20"/>
                <w:lang w:eastAsia="fr-FR"/>
              </w:rPr>
              <w:t>2 ans</w:t>
            </w:r>
          </w:p>
        </w:tc>
      </w:tr>
      <w:tr w:rsidR="004C0FFF" w:rsidRPr="004C0FFF" w:rsidTr="004C0FFF">
        <w:trPr>
          <w:tblCellSpacing w:w="15" w:type="dxa"/>
        </w:trPr>
        <w:tc>
          <w:tcPr>
            <w:tcW w:w="0" w:type="auto"/>
            <w:shd w:val="clear" w:color="auto" w:fill="F2E699"/>
            <w:tcMar>
              <w:top w:w="120" w:type="dxa"/>
              <w:left w:w="120" w:type="dxa"/>
              <w:bottom w:w="120" w:type="dxa"/>
              <w:right w:w="120" w:type="dxa"/>
            </w:tcMar>
            <w:vAlign w:val="center"/>
            <w:hideMark/>
          </w:tcPr>
          <w:p w:rsidR="004C0FFF" w:rsidRPr="004C0FFF" w:rsidRDefault="004C0FFF" w:rsidP="004C0FFF">
            <w:pPr>
              <w:spacing w:after="100" w:afterAutospacing="1" w:line="240" w:lineRule="auto"/>
              <w:rPr>
                <w:rFonts w:ascii="Arial" w:eastAsia="Times New Roman" w:hAnsi="Arial" w:cs="Arial"/>
                <w:color w:val="000000"/>
                <w:sz w:val="20"/>
                <w:szCs w:val="20"/>
                <w:lang w:eastAsia="fr-FR"/>
              </w:rPr>
            </w:pPr>
            <w:r w:rsidRPr="004C0FFF">
              <w:rPr>
                <w:rFonts w:ascii="Arial" w:eastAsia="Times New Roman" w:hAnsi="Arial" w:cs="Arial"/>
                <w:color w:val="000000"/>
                <w:sz w:val="20"/>
                <w:szCs w:val="20"/>
                <w:lang w:eastAsia="fr-FR"/>
              </w:rPr>
              <w:t xml:space="preserve">Loyers et charges locatives (paiement des loyers, des charges, </w:t>
            </w:r>
            <w:r w:rsidRPr="004C0FFF">
              <w:rPr>
                <w:rFonts w:ascii="Arial" w:eastAsia="Times New Roman" w:hAnsi="Arial" w:cs="Arial"/>
                <w:color w:val="000000"/>
                <w:sz w:val="20"/>
                <w:szCs w:val="20"/>
                <w:lang w:eastAsia="fr-FR"/>
              </w:rPr>
              <w:lastRenderedPageBreak/>
              <w:t>des rappels de loyer suite à une révision tardive, des réparations locatives…)</w:t>
            </w:r>
          </w:p>
        </w:tc>
        <w:tc>
          <w:tcPr>
            <w:tcW w:w="0" w:type="auto"/>
            <w:shd w:val="clear" w:color="auto" w:fill="F2E699"/>
            <w:tcMar>
              <w:top w:w="120" w:type="dxa"/>
              <w:left w:w="120" w:type="dxa"/>
              <w:bottom w:w="120" w:type="dxa"/>
              <w:right w:w="120" w:type="dxa"/>
            </w:tcMar>
            <w:vAlign w:val="center"/>
            <w:hideMark/>
          </w:tcPr>
          <w:p w:rsidR="004C0FFF" w:rsidRPr="004C0FFF" w:rsidRDefault="004C0FFF" w:rsidP="004C0FFF">
            <w:pPr>
              <w:spacing w:after="100" w:afterAutospacing="1" w:line="240" w:lineRule="auto"/>
              <w:rPr>
                <w:rFonts w:ascii="Arial" w:eastAsia="Times New Roman" w:hAnsi="Arial" w:cs="Arial"/>
                <w:color w:val="000000"/>
                <w:sz w:val="20"/>
                <w:szCs w:val="20"/>
                <w:lang w:eastAsia="fr-FR"/>
              </w:rPr>
            </w:pPr>
            <w:r w:rsidRPr="004C0FFF">
              <w:rPr>
                <w:rFonts w:ascii="Arial" w:eastAsia="Times New Roman" w:hAnsi="Arial" w:cs="Arial"/>
                <w:color w:val="000000"/>
                <w:sz w:val="20"/>
                <w:szCs w:val="20"/>
                <w:lang w:eastAsia="fr-FR"/>
              </w:rPr>
              <w:lastRenderedPageBreak/>
              <w:t>5 ans</w:t>
            </w:r>
          </w:p>
        </w:tc>
        <w:tc>
          <w:tcPr>
            <w:tcW w:w="0" w:type="auto"/>
            <w:shd w:val="clear" w:color="auto" w:fill="F2E699"/>
            <w:tcMar>
              <w:top w:w="120" w:type="dxa"/>
              <w:left w:w="120" w:type="dxa"/>
              <w:bottom w:w="120" w:type="dxa"/>
              <w:right w:w="120" w:type="dxa"/>
            </w:tcMar>
            <w:vAlign w:val="center"/>
            <w:hideMark/>
          </w:tcPr>
          <w:p w:rsidR="004C0FFF" w:rsidRPr="004C0FFF" w:rsidRDefault="004C0FFF" w:rsidP="004C0FFF">
            <w:pPr>
              <w:spacing w:after="100" w:afterAutospacing="1" w:line="240" w:lineRule="auto"/>
              <w:rPr>
                <w:rFonts w:ascii="Arial" w:eastAsia="Times New Roman" w:hAnsi="Arial" w:cs="Arial"/>
                <w:color w:val="000000"/>
                <w:sz w:val="20"/>
                <w:szCs w:val="20"/>
                <w:lang w:eastAsia="fr-FR"/>
              </w:rPr>
            </w:pPr>
            <w:r w:rsidRPr="004C0FFF">
              <w:rPr>
                <w:rFonts w:ascii="Arial" w:eastAsia="Times New Roman" w:hAnsi="Arial" w:cs="Arial"/>
                <w:color w:val="000000"/>
                <w:sz w:val="20"/>
                <w:szCs w:val="20"/>
                <w:lang w:eastAsia="fr-FR"/>
              </w:rPr>
              <w:t>5 ans (sauf HLM)</w:t>
            </w:r>
          </w:p>
        </w:tc>
      </w:tr>
      <w:tr w:rsidR="004C0FFF" w:rsidRPr="004C0FFF" w:rsidTr="004C0FFF">
        <w:trPr>
          <w:tblCellSpacing w:w="15" w:type="dxa"/>
        </w:trPr>
        <w:tc>
          <w:tcPr>
            <w:tcW w:w="0" w:type="auto"/>
            <w:shd w:val="clear" w:color="auto" w:fill="F2E699"/>
            <w:tcMar>
              <w:top w:w="120" w:type="dxa"/>
              <w:left w:w="120" w:type="dxa"/>
              <w:bottom w:w="120" w:type="dxa"/>
              <w:right w:w="120" w:type="dxa"/>
            </w:tcMar>
            <w:vAlign w:val="center"/>
            <w:hideMark/>
          </w:tcPr>
          <w:p w:rsidR="004C0FFF" w:rsidRPr="004C0FFF" w:rsidRDefault="004C0FFF" w:rsidP="004C0FFF">
            <w:pPr>
              <w:spacing w:after="100" w:afterAutospacing="1" w:line="240" w:lineRule="auto"/>
              <w:rPr>
                <w:rFonts w:ascii="Arial" w:eastAsia="Times New Roman" w:hAnsi="Arial" w:cs="Arial"/>
                <w:color w:val="000000"/>
                <w:sz w:val="20"/>
                <w:szCs w:val="20"/>
                <w:lang w:eastAsia="fr-FR"/>
              </w:rPr>
            </w:pPr>
            <w:r w:rsidRPr="004C0FFF">
              <w:rPr>
                <w:rFonts w:ascii="Arial" w:eastAsia="Times New Roman" w:hAnsi="Arial" w:cs="Arial"/>
                <w:color w:val="000000"/>
                <w:sz w:val="20"/>
                <w:szCs w:val="20"/>
                <w:lang w:eastAsia="fr-FR"/>
              </w:rPr>
              <w:lastRenderedPageBreak/>
              <w:t>Charges de copropriété</w:t>
            </w:r>
          </w:p>
        </w:tc>
        <w:tc>
          <w:tcPr>
            <w:tcW w:w="0" w:type="auto"/>
            <w:shd w:val="clear" w:color="auto" w:fill="F2E699"/>
            <w:tcMar>
              <w:top w:w="120" w:type="dxa"/>
              <w:left w:w="120" w:type="dxa"/>
              <w:bottom w:w="120" w:type="dxa"/>
              <w:right w:w="120" w:type="dxa"/>
            </w:tcMar>
            <w:vAlign w:val="center"/>
            <w:hideMark/>
          </w:tcPr>
          <w:p w:rsidR="004C0FFF" w:rsidRPr="004C0FFF" w:rsidRDefault="004C0FFF" w:rsidP="004C0FFF">
            <w:pPr>
              <w:spacing w:after="100" w:afterAutospacing="1" w:line="240" w:lineRule="auto"/>
              <w:rPr>
                <w:rFonts w:ascii="Arial" w:eastAsia="Times New Roman" w:hAnsi="Arial" w:cs="Arial"/>
                <w:color w:val="000000"/>
                <w:sz w:val="20"/>
                <w:szCs w:val="20"/>
                <w:lang w:eastAsia="fr-FR"/>
              </w:rPr>
            </w:pPr>
            <w:r w:rsidRPr="004C0FFF">
              <w:rPr>
                <w:rFonts w:ascii="Arial" w:eastAsia="Times New Roman" w:hAnsi="Arial" w:cs="Arial"/>
                <w:color w:val="000000"/>
                <w:sz w:val="20"/>
                <w:szCs w:val="20"/>
                <w:lang w:eastAsia="fr-FR"/>
              </w:rPr>
              <w:t>10 ans</w:t>
            </w:r>
          </w:p>
        </w:tc>
        <w:tc>
          <w:tcPr>
            <w:tcW w:w="0" w:type="auto"/>
            <w:shd w:val="clear" w:color="auto" w:fill="F2E699"/>
            <w:tcMar>
              <w:top w:w="120" w:type="dxa"/>
              <w:left w:w="120" w:type="dxa"/>
              <w:bottom w:w="120" w:type="dxa"/>
              <w:right w:w="120" w:type="dxa"/>
            </w:tcMar>
            <w:vAlign w:val="center"/>
            <w:hideMark/>
          </w:tcPr>
          <w:p w:rsidR="004C0FFF" w:rsidRPr="004C0FFF" w:rsidRDefault="004C0FFF" w:rsidP="004C0FFF">
            <w:pPr>
              <w:spacing w:after="100" w:afterAutospacing="1" w:line="240" w:lineRule="auto"/>
              <w:rPr>
                <w:rFonts w:ascii="Arial" w:eastAsia="Times New Roman" w:hAnsi="Arial" w:cs="Arial"/>
                <w:color w:val="000000"/>
                <w:sz w:val="20"/>
                <w:szCs w:val="20"/>
                <w:lang w:eastAsia="fr-FR"/>
              </w:rPr>
            </w:pPr>
            <w:r w:rsidRPr="004C0FFF">
              <w:rPr>
                <w:rFonts w:ascii="Arial" w:eastAsia="Times New Roman" w:hAnsi="Arial" w:cs="Arial"/>
                <w:color w:val="000000"/>
                <w:sz w:val="20"/>
                <w:szCs w:val="20"/>
                <w:lang w:eastAsia="fr-FR"/>
              </w:rPr>
              <w:t>10 ans</w:t>
            </w:r>
          </w:p>
        </w:tc>
      </w:tr>
      <w:tr w:rsidR="004C0FFF" w:rsidRPr="004C0FFF" w:rsidTr="004C0FFF">
        <w:trPr>
          <w:tblCellSpacing w:w="15" w:type="dxa"/>
        </w:trPr>
        <w:tc>
          <w:tcPr>
            <w:tcW w:w="0" w:type="auto"/>
            <w:shd w:val="clear" w:color="auto" w:fill="F2E699"/>
            <w:tcMar>
              <w:top w:w="120" w:type="dxa"/>
              <w:left w:w="120" w:type="dxa"/>
              <w:bottom w:w="120" w:type="dxa"/>
              <w:right w:w="120" w:type="dxa"/>
            </w:tcMar>
            <w:vAlign w:val="center"/>
            <w:hideMark/>
          </w:tcPr>
          <w:p w:rsidR="004C0FFF" w:rsidRPr="004C0FFF" w:rsidRDefault="004C0FFF" w:rsidP="004C0FFF">
            <w:pPr>
              <w:spacing w:after="100" w:afterAutospacing="1" w:line="240" w:lineRule="auto"/>
              <w:rPr>
                <w:rFonts w:ascii="Arial" w:eastAsia="Times New Roman" w:hAnsi="Arial" w:cs="Arial"/>
                <w:color w:val="000000"/>
                <w:sz w:val="20"/>
                <w:szCs w:val="20"/>
                <w:lang w:eastAsia="fr-FR"/>
              </w:rPr>
            </w:pPr>
            <w:r w:rsidRPr="004C0FFF">
              <w:rPr>
                <w:rFonts w:ascii="Arial" w:eastAsia="Times New Roman" w:hAnsi="Arial" w:cs="Arial"/>
                <w:color w:val="000000"/>
                <w:sz w:val="20"/>
                <w:szCs w:val="20"/>
                <w:lang w:eastAsia="fr-FR"/>
              </w:rPr>
              <w:t>Crédits</w:t>
            </w:r>
          </w:p>
        </w:tc>
        <w:tc>
          <w:tcPr>
            <w:tcW w:w="0" w:type="auto"/>
            <w:shd w:val="clear" w:color="auto" w:fill="F2E699"/>
            <w:tcMar>
              <w:top w:w="120" w:type="dxa"/>
              <w:left w:w="120" w:type="dxa"/>
              <w:bottom w:w="120" w:type="dxa"/>
              <w:right w:w="120" w:type="dxa"/>
            </w:tcMar>
            <w:vAlign w:val="center"/>
            <w:hideMark/>
          </w:tcPr>
          <w:p w:rsidR="004C0FFF" w:rsidRPr="004C0FFF" w:rsidRDefault="004C0FFF" w:rsidP="004C0FFF">
            <w:pPr>
              <w:spacing w:after="100" w:afterAutospacing="1" w:line="240" w:lineRule="auto"/>
              <w:rPr>
                <w:rFonts w:ascii="Arial" w:eastAsia="Times New Roman" w:hAnsi="Arial" w:cs="Arial"/>
                <w:color w:val="000000"/>
                <w:sz w:val="20"/>
                <w:szCs w:val="20"/>
                <w:lang w:eastAsia="fr-FR"/>
              </w:rPr>
            </w:pPr>
            <w:r w:rsidRPr="004C0FFF">
              <w:rPr>
                <w:rFonts w:ascii="Arial" w:eastAsia="Times New Roman" w:hAnsi="Arial" w:cs="Arial"/>
                <w:color w:val="000000"/>
                <w:sz w:val="20"/>
                <w:szCs w:val="20"/>
                <w:lang w:eastAsia="fr-FR"/>
              </w:rPr>
              <w:t>5 ans</w:t>
            </w:r>
          </w:p>
        </w:tc>
        <w:tc>
          <w:tcPr>
            <w:tcW w:w="0" w:type="auto"/>
            <w:shd w:val="clear" w:color="auto" w:fill="F2E699"/>
            <w:tcMar>
              <w:top w:w="120" w:type="dxa"/>
              <w:left w:w="120" w:type="dxa"/>
              <w:bottom w:w="120" w:type="dxa"/>
              <w:right w:w="120" w:type="dxa"/>
            </w:tcMar>
            <w:vAlign w:val="center"/>
            <w:hideMark/>
          </w:tcPr>
          <w:p w:rsidR="004C0FFF" w:rsidRPr="004C0FFF" w:rsidRDefault="004C0FFF" w:rsidP="004C0FFF">
            <w:pPr>
              <w:spacing w:after="100" w:afterAutospacing="1" w:line="240" w:lineRule="auto"/>
              <w:rPr>
                <w:rFonts w:ascii="Arial" w:eastAsia="Times New Roman" w:hAnsi="Arial" w:cs="Arial"/>
                <w:color w:val="000000"/>
                <w:sz w:val="20"/>
                <w:szCs w:val="20"/>
                <w:lang w:eastAsia="fr-FR"/>
              </w:rPr>
            </w:pPr>
            <w:r w:rsidRPr="004C0FFF">
              <w:rPr>
                <w:rFonts w:ascii="Arial" w:eastAsia="Times New Roman" w:hAnsi="Arial" w:cs="Arial"/>
                <w:color w:val="000000"/>
                <w:sz w:val="20"/>
                <w:szCs w:val="20"/>
                <w:lang w:eastAsia="fr-FR"/>
              </w:rPr>
              <w:t>2 ans</w:t>
            </w:r>
          </w:p>
        </w:tc>
      </w:tr>
      <w:tr w:rsidR="004C0FFF" w:rsidRPr="004C0FFF" w:rsidTr="004C0FFF">
        <w:trPr>
          <w:tblCellSpacing w:w="15" w:type="dxa"/>
        </w:trPr>
        <w:tc>
          <w:tcPr>
            <w:tcW w:w="0" w:type="auto"/>
            <w:shd w:val="clear" w:color="auto" w:fill="F2E699"/>
            <w:tcMar>
              <w:top w:w="120" w:type="dxa"/>
              <w:left w:w="120" w:type="dxa"/>
              <w:bottom w:w="120" w:type="dxa"/>
              <w:right w:w="120" w:type="dxa"/>
            </w:tcMar>
            <w:vAlign w:val="center"/>
            <w:hideMark/>
          </w:tcPr>
          <w:p w:rsidR="004C0FFF" w:rsidRPr="004C0FFF" w:rsidRDefault="004C0FFF" w:rsidP="004C0FFF">
            <w:pPr>
              <w:spacing w:after="100" w:afterAutospacing="1" w:line="240" w:lineRule="auto"/>
              <w:rPr>
                <w:rFonts w:ascii="Arial" w:eastAsia="Times New Roman" w:hAnsi="Arial" w:cs="Arial"/>
                <w:color w:val="000000"/>
                <w:sz w:val="20"/>
                <w:szCs w:val="20"/>
                <w:lang w:eastAsia="fr-FR"/>
              </w:rPr>
            </w:pPr>
            <w:r w:rsidRPr="004C0FFF">
              <w:rPr>
                <w:rFonts w:ascii="Arial" w:eastAsia="Times New Roman" w:hAnsi="Arial" w:cs="Arial"/>
                <w:color w:val="000000"/>
                <w:sz w:val="20"/>
                <w:szCs w:val="20"/>
                <w:lang w:eastAsia="fr-FR"/>
              </w:rPr>
              <w:t>Honoraires des avocats</w:t>
            </w:r>
          </w:p>
        </w:tc>
        <w:tc>
          <w:tcPr>
            <w:tcW w:w="0" w:type="auto"/>
            <w:shd w:val="clear" w:color="auto" w:fill="F2E699"/>
            <w:tcMar>
              <w:top w:w="120" w:type="dxa"/>
              <w:left w:w="120" w:type="dxa"/>
              <w:bottom w:w="120" w:type="dxa"/>
              <w:right w:w="120" w:type="dxa"/>
            </w:tcMar>
            <w:vAlign w:val="center"/>
            <w:hideMark/>
          </w:tcPr>
          <w:p w:rsidR="004C0FFF" w:rsidRPr="004C0FFF" w:rsidRDefault="004C0FFF" w:rsidP="004C0FFF">
            <w:pPr>
              <w:spacing w:after="100" w:afterAutospacing="1" w:line="240" w:lineRule="auto"/>
              <w:rPr>
                <w:rFonts w:ascii="Arial" w:eastAsia="Times New Roman" w:hAnsi="Arial" w:cs="Arial"/>
                <w:color w:val="000000"/>
                <w:sz w:val="20"/>
                <w:szCs w:val="20"/>
                <w:lang w:eastAsia="fr-FR"/>
              </w:rPr>
            </w:pPr>
            <w:r w:rsidRPr="004C0FFF">
              <w:rPr>
                <w:rFonts w:ascii="Arial" w:eastAsia="Times New Roman" w:hAnsi="Arial" w:cs="Arial"/>
                <w:color w:val="000000"/>
                <w:sz w:val="20"/>
                <w:szCs w:val="20"/>
                <w:lang w:eastAsia="fr-FR"/>
              </w:rPr>
              <w:t>5 ans</w:t>
            </w:r>
          </w:p>
        </w:tc>
        <w:tc>
          <w:tcPr>
            <w:tcW w:w="0" w:type="auto"/>
            <w:shd w:val="clear" w:color="auto" w:fill="F2E699"/>
            <w:tcMar>
              <w:top w:w="120" w:type="dxa"/>
              <w:left w:w="120" w:type="dxa"/>
              <w:bottom w:w="120" w:type="dxa"/>
              <w:right w:w="120" w:type="dxa"/>
            </w:tcMar>
            <w:vAlign w:val="center"/>
            <w:hideMark/>
          </w:tcPr>
          <w:p w:rsidR="004C0FFF" w:rsidRPr="004C0FFF" w:rsidRDefault="004C0FFF" w:rsidP="004C0FFF">
            <w:pPr>
              <w:spacing w:after="100" w:afterAutospacing="1" w:line="240" w:lineRule="auto"/>
              <w:rPr>
                <w:rFonts w:ascii="Arial" w:eastAsia="Times New Roman" w:hAnsi="Arial" w:cs="Arial"/>
                <w:color w:val="000000"/>
                <w:sz w:val="20"/>
                <w:szCs w:val="20"/>
                <w:lang w:eastAsia="fr-FR"/>
              </w:rPr>
            </w:pPr>
            <w:r w:rsidRPr="004C0FFF">
              <w:rPr>
                <w:rFonts w:ascii="Arial" w:eastAsia="Times New Roman" w:hAnsi="Arial" w:cs="Arial"/>
                <w:color w:val="000000"/>
                <w:sz w:val="20"/>
                <w:szCs w:val="20"/>
                <w:lang w:eastAsia="fr-FR"/>
              </w:rPr>
              <w:t>2 ans</w:t>
            </w:r>
          </w:p>
        </w:tc>
      </w:tr>
      <w:tr w:rsidR="004C0FFF" w:rsidRPr="004C0FFF" w:rsidTr="004C0FFF">
        <w:trPr>
          <w:tblCellSpacing w:w="15" w:type="dxa"/>
        </w:trPr>
        <w:tc>
          <w:tcPr>
            <w:tcW w:w="0" w:type="auto"/>
            <w:shd w:val="clear" w:color="auto" w:fill="F2E699"/>
            <w:tcMar>
              <w:top w:w="120" w:type="dxa"/>
              <w:left w:w="120" w:type="dxa"/>
              <w:bottom w:w="120" w:type="dxa"/>
              <w:right w:w="120" w:type="dxa"/>
            </w:tcMar>
            <w:vAlign w:val="center"/>
            <w:hideMark/>
          </w:tcPr>
          <w:p w:rsidR="004C0FFF" w:rsidRPr="004C0FFF" w:rsidRDefault="004C0FFF" w:rsidP="004C0FFF">
            <w:pPr>
              <w:spacing w:after="100" w:afterAutospacing="1" w:line="240" w:lineRule="auto"/>
              <w:rPr>
                <w:rFonts w:ascii="Arial" w:eastAsia="Times New Roman" w:hAnsi="Arial" w:cs="Arial"/>
                <w:color w:val="000000"/>
                <w:sz w:val="20"/>
                <w:szCs w:val="20"/>
                <w:lang w:eastAsia="fr-FR"/>
              </w:rPr>
            </w:pPr>
            <w:r w:rsidRPr="004C0FFF">
              <w:rPr>
                <w:rFonts w:ascii="Arial" w:eastAsia="Times New Roman" w:hAnsi="Arial" w:cs="Arial"/>
                <w:color w:val="000000"/>
                <w:sz w:val="20"/>
                <w:szCs w:val="20"/>
                <w:lang w:eastAsia="fr-FR"/>
              </w:rPr>
              <w:t>Eau</w:t>
            </w:r>
          </w:p>
        </w:tc>
        <w:tc>
          <w:tcPr>
            <w:tcW w:w="0" w:type="auto"/>
            <w:shd w:val="clear" w:color="auto" w:fill="F2E699"/>
            <w:tcMar>
              <w:top w:w="120" w:type="dxa"/>
              <w:left w:w="120" w:type="dxa"/>
              <w:bottom w:w="120" w:type="dxa"/>
              <w:right w:w="120" w:type="dxa"/>
            </w:tcMar>
            <w:vAlign w:val="center"/>
            <w:hideMark/>
          </w:tcPr>
          <w:p w:rsidR="004C0FFF" w:rsidRPr="004C0FFF" w:rsidRDefault="004C0FFF" w:rsidP="004C0FFF">
            <w:pPr>
              <w:spacing w:after="100" w:afterAutospacing="1" w:line="240" w:lineRule="auto"/>
              <w:rPr>
                <w:rFonts w:ascii="Arial" w:eastAsia="Times New Roman" w:hAnsi="Arial" w:cs="Arial"/>
                <w:color w:val="000000"/>
                <w:sz w:val="20"/>
                <w:szCs w:val="20"/>
                <w:lang w:eastAsia="fr-FR"/>
              </w:rPr>
            </w:pPr>
            <w:r w:rsidRPr="004C0FFF">
              <w:rPr>
                <w:rFonts w:ascii="Arial" w:eastAsia="Times New Roman" w:hAnsi="Arial" w:cs="Arial"/>
                <w:color w:val="000000"/>
                <w:sz w:val="20"/>
                <w:szCs w:val="20"/>
                <w:lang w:eastAsia="fr-FR"/>
              </w:rPr>
              <w:t>5 ans</w:t>
            </w:r>
          </w:p>
        </w:tc>
        <w:tc>
          <w:tcPr>
            <w:tcW w:w="0" w:type="auto"/>
            <w:shd w:val="clear" w:color="auto" w:fill="F2E699"/>
            <w:tcMar>
              <w:top w:w="120" w:type="dxa"/>
              <w:left w:w="120" w:type="dxa"/>
              <w:bottom w:w="120" w:type="dxa"/>
              <w:right w:w="120" w:type="dxa"/>
            </w:tcMar>
            <w:vAlign w:val="center"/>
            <w:hideMark/>
          </w:tcPr>
          <w:p w:rsidR="004C0FFF" w:rsidRPr="004C0FFF" w:rsidRDefault="004C0FFF" w:rsidP="004C0FFF">
            <w:pPr>
              <w:spacing w:after="100" w:afterAutospacing="1" w:line="240" w:lineRule="auto"/>
              <w:rPr>
                <w:rFonts w:ascii="Arial" w:eastAsia="Times New Roman" w:hAnsi="Arial" w:cs="Arial"/>
                <w:color w:val="000000"/>
                <w:sz w:val="20"/>
                <w:szCs w:val="20"/>
                <w:lang w:eastAsia="fr-FR"/>
              </w:rPr>
            </w:pPr>
            <w:r w:rsidRPr="004C0FFF">
              <w:rPr>
                <w:rFonts w:ascii="Arial" w:eastAsia="Times New Roman" w:hAnsi="Arial" w:cs="Arial"/>
                <w:color w:val="000000"/>
                <w:sz w:val="20"/>
                <w:szCs w:val="20"/>
                <w:lang w:eastAsia="fr-FR"/>
              </w:rPr>
              <w:t>2 ans (sauf si fourni par collectivité locale ou établissement public)</w:t>
            </w:r>
          </w:p>
        </w:tc>
      </w:tr>
      <w:tr w:rsidR="004C0FFF" w:rsidRPr="004C0FFF" w:rsidTr="004C0FFF">
        <w:trPr>
          <w:tblCellSpacing w:w="15" w:type="dxa"/>
        </w:trPr>
        <w:tc>
          <w:tcPr>
            <w:tcW w:w="0" w:type="auto"/>
            <w:shd w:val="clear" w:color="auto" w:fill="F2E699"/>
            <w:tcMar>
              <w:top w:w="120" w:type="dxa"/>
              <w:left w:w="120" w:type="dxa"/>
              <w:bottom w:w="120" w:type="dxa"/>
              <w:right w:w="120" w:type="dxa"/>
            </w:tcMar>
            <w:vAlign w:val="center"/>
            <w:hideMark/>
          </w:tcPr>
          <w:p w:rsidR="004C0FFF" w:rsidRPr="004C0FFF" w:rsidRDefault="004C0FFF" w:rsidP="004C0FFF">
            <w:pPr>
              <w:spacing w:after="100" w:afterAutospacing="1" w:line="240" w:lineRule="auto"/>
              <w:rPr>
                <w:rFonts w:ascii="Arial" w:eastAsia="Times New Roman" w:hAnsi="Arial" w:cs="Arial"/>
                <w:color w:val="000000"/>
                <w:sz w:val="20"/>
                <w:szCs w:val="20"/>
                <w:lang w:eastAsia="fr-FR"/>
              </w:rPr>
            </w:pPr>
            <w:r w:rsidRPr="004C0FFF">
              <w:rPr>
                <w:rFonts w:ascii="Arial" w:eastAsia="Times New Roman" w:hAnsi="Arial" w:cs="Arial"/>
                <w:color w:val="000000"/>
                <w:sz w:val="20"/>
                <w:szCs w:val="20"/>
                <w:lang w:eastAsia="fr-FR"/>
              </w:rPr>
              <w:t>Gaz et électricité</w:t>
            </w:r>
          </w:p>
        </w:tc>
        <w:tc>
          <w:tcPr>
            <w:tcW w:w="0" w:type="auto"/>
            <w:shd w:val="clear" w:color="auto" w:fill="F2E699"/>
            <w:tcMar>
              <w:top w:w="120" w:type="dxa"/>
              <w:left w:w="120" w:type="dxa"/>
              <w:bottom w:w="120" w:type="dxa"/>
              <w:right w:w="120" w:type="dxa"/>
            </w:tcMar>
            <w:vAlign w:val="center"/>
            <w:hideMark/>
          </w:tcPr>
          <w:p w:rsidR="004C0FFF" w:rsidRPr="004C0FFF" w:rsidRDefault="004C0FFF" w:rsidP="004C0FFF">
            <w:pPr>
              <w:spacing w:after="100" w:afterAutospacing="1" w:line="240" w:lineRule="auto"/>
              <w:rPr>
                <w:rFonts w:ascii="Arial" w:eastAsia="Times New Roman" w:hAnsi="Arial" w:cs="Arial"/>
                <w:color w:val="000000"/>
                <w:sz w:val="20"/>
                <w:szCs w:val="20"/>
                <w:lang w:eastAsia="fr-FR"/>
              </w:rPr>
            </w:pPr>
            <w:r w:rsidRPr="004C0FFF">
              <w:rPr>
                <w:rFonts w:ascii="Arial" w:eastAsia="Times New Roman" w:hAnsi="Arial" w:cs="Arial"/>
                <w:color w:val="000000"/>
                <w:sz w:val="20"/>
                <w:szCs w:val="20"/>
                <w:lang w:eastAsia="fr-FR"/>
              </w:rPr>
              <w:t>5 ans</w:t>
            </w:r>
          </w:p>
        </w:tc>
        <w:tc>
          <w:tcPr>
            <w:tcW w:w="0" w:type="auto"/>
            <w:shd w:val="clear" w:color="auto" w:fill="F2E699"/>
            <w:tcMar>
              <w:top w:w="120" w:type="dxa"/>
              <w:left w:w="120" w:type="dxa"/>
              <w:bottom w:w="120" w:type="dxa"/>
              <w:right w:w="120" w:type="dxa"/>
            </w:tcMar>
            <w:vAlign w:val="center"/>
            <w:hideMark/>
          </w:tcPr>
          <w:p w:rsidR="004C0FFF" w:rsidRPr="004C0FFF" w:rsidRDefault="004C0FFF" w:rsidP="004C0FFF">
            <w:pPr>
              <w:spacing w:after="100" w:afterAutospacing="1" w:line="240" w:lineRule="auto"/>
              <w:rPr>
                <w:rFonts w:ascii="Arial" w:eastAsia="Times New Roman" w:hAnsi="Arial" w:cs="Arial"/>
                <w:color w:val="000000"/>
                <w:sz w:val="20"/>
                <w:szCs w:val="20"/>
                <w:lang w:eastAsia="fr-FR"/>
              </w:rPr>
            </w:pPr>
            <w:r w:rsidRPr="004C0FFF">
              <w:rPr>
                <w:rFonts w:ascii="Arial" w:eastAsia="Times New Roman" w:hAnsi="Arial" w:cs="Arial"/>
                <w:color w:val="000000"/>
                <w:sz w:val="20"/>
                <w:szCs w:val="20"/>
                <w:lang w:eastAsia="fr-FR"/>
              </w:rPr>
              <w:t>2 ans</w:t>
            </w:r>
          </w:p>
        </w:tc>
      </w:tr>
      <w:tr w:rsidR="004C0FFF" w:rsidRPr="004C0FFF" w:rsidTr="004C0FFF">
        <w:trPr>
          <w:tblCellSpacing w:w="15" w:type="dxa"/>
        </w:trPr>
        <w:tc>
          <w:tcPr>
            <w:tcW w:w="0" w:type="auto"/>
            <w:shd w:val="clear" w:color="auto" w:fill="F2E699"/>
            <w:tcMar>
              <w:top w:w="120" w:type="dxa"/>
              <w:left w:w="120" w:type="dxa"/>
              <w:bottom w:w="120" w:type="dxa"/>
              <w:right w:w="120" w:type="dxa"/>
            </w:tcMar>
            <w:vAlign w:val="center"/>
            <w:hideMark/>
          </w:tcPr>
          <w:p w:rsidR="004C0FFF" w:rsidRPr="004C0FFF" w:rsidRDefault="004C0FFF" w:rsidP="004C0FFF">
            <w:pPr>
              <w:spacing w:after="100" w:afterAutospacing="1" w:line="240" w:lineRule="auto"/>
              <w:rPr>
                <w:rFonts w:ascii="Arial" w:eastAsia="Times New Roman" w:hAnsi="Arial" w:cs="Arial"/>
                <w:color w:val="000000"/>
                <w:sz w:val="20"/>
                <w:szCs w:val="20"/>
                <w:lang w:eastAsia="fr-FR"/>
              </w:rPr>
            </w:pPr>
            <w:r w:rsidRPr="004C0FFF">
              <w:rPr>
                <w:rFonts w:ascii="Arial" w:eastAsia="Times New Roman" w:hAnsi="Arial" w:cs="Arial"/>
                <w:color w:val="000000"/>
                <w:sz w:val="20"/>
                <w:szCs w:val="20"/>
                <w:lang w:eastAsia="fr-FR"/>
              </w:rPr>
              <w:t>Téléphone et internet (abonnement, communications, options, location d'accessoires…)</w:t>
            </w:r>
          </w:p>
        </w:tc>
        <w:tc>
          <w:tcPr>
            <w:tcW w:w="0" w:type="auto"/>
            <w:shd w:val="clear" w:color="auto" w:fill="F2E699"/>
            <w:tcMar>
              <w:top w:w="120" w:type="dxa"/>
              <w:left w:w="120" w:type="dxa"/>
              <w:bottom w:w="120" w:type="dxa"/>
              <w:right w:w="120" w:type="dxa"/>
            </w:tcMar>
            <w:vAlign w:val="center"/>
            <w:hideMark/>
          </w:tcPr>
          <w:p w:rsidR="004C0FFF" w:rsidRPr="004C0FFF" w:rsidRDefault="004C0FFF" w:rsidP="004C0FFF">
            <w:pPr>
              <w:spacing w:after="100" w:afterAutospacing="1" w:line="240" w:lineRule="auto"/>
              <w:rPr>
                <w:rFonts w:ascii="Arial" w:eastAsia="Times New Roman" w:hAnsi="Arial" w:cs="Arial"/>
                <w:color w:val="000000"/>
                <w:sz w:val="20"/>
                <w:szCs w:val="20"/>
                <w:lang w:eastAsia="fr-FR"/>
              </w:rPr>
            </w:pPr>
            <w:r w:rsidRPr="004C0FFF">
              <w:rPr>
                <w:rFonts w:ascii="Arial" w:eastAsia="Times New Roman" w:hAnsi="Arial" w:cs="Arial"/>
                <w:color w:val="000000"/>
                <w:sz w:val="20"/>
                <w:szCs w:val="20"/>
                <w:lang w:eastAsia="fr-FR"/>
              </w:rPr>
              <w:t>1 an</w:t>
            </w:r>
          </w:p>
        </w:tc>
        <w:tc>
          <w:tcPr>
            <w:tcW w:w="0" w:type="auto"/>
            <w:shd w:val="clear" w:color="auto" w:fill="F2E699"/>
            <w:tcMar>
              <w:top w:w="120" w:type="dxa"/>
              <w:left w:w="120" w:type="dxa"/>
              <w:bottom w:w="120" w:type="dxa"/>
              <w:right w:w="120" w:type="dxa"/>
            </w:tcMar>
            <w:vAlign w:val="center"/>
            <w:hideMark/>
          </w:tcPr>
          <w:p w:rsidR="004C0FFF" w:rsidRPr="004C0FFF" w:rsidRDefault="004C0FFF" w:rsidP="004C0FFF">
            <w:pPr>
              <w:spacing w:after="100" w:afterAutospacing="1" w:line="240" w:lineRule="auto"/>
              <w:rPr>
                <w:rFonts w:ascii="Arial" w:eastAsia="Times New Roman" w:hAnsi="Arial" w:cs="Arial"/>
                <w:color w:val="000000"/>
                <w:sz w:val="20"/>
                <w:szCs w:val="20"/>
                <w:lang w:eastAsia="fr-FR"/>
              </w:rPr>
            </w:pPr>
            <w:r w:rsidRPr="004C0FFF">
              <w:rPr>
                <w:rFonts w:ascii="Arial" w:eastAsia="Times New Roman" w:hAnsi="Arial" w:cs="Arial"/>
                <w:color w:val="000000"/>
                <w:sz w:val="20"/>
                <w:szCs w:val="20"/>
                <w:lang w:eastAsia="fr-FR"/>
              </w:rPr>
              <w:t>1 an</w:t>
            </w:r>
          </w:p>
        </w:tc>
      </w:tr>
      <w:bookmarkEnd w:id="0"/>
    </w:tbl>
    <w:p w:rsidR="004C0FFF" w:rsidRDefault="004C0FFF" w:rsidP="00BE211A"/>
    <w:sectPr w:rsidR="004C0F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http://media.apce.com/design/front_office_apce/images/newpuce-1/triangle.gif" style="width:9pt;height:7.5pt;visibility:visible;mso-wrap-style:square" o:bullet="t">
        <v:imagedata r:id="rId1" o:title="triangle"/>
      </v:shape>
    </w:pict>
  </w:numPicBullet>
  <w:abstractNum w:abstractNumId="0">
    <w:nsid w:val="2A7C00DE"/>
    <w:multiLevelType w:val="hybridMultilevel"/>
    <w:tmpl w:val="446666F6"/>
    <w:lvl w:ilvl="0" w:tplc="70B693D0">
      <w:start w:val="3"/>
      <w:numFmt w:val="bullet"/>
      <w:lvlText w:val="-"/>
      <w:lvlJc w:val="left"/>
      <w:pPr>
        <w:ind w:left="720" w:hanging="360"/>
      </w:pPr>
      <w:rPr>
        <w:rFonts w:ascii="Century Gothic" w:eastAsia="Times New Roman" w:hAnsi="Century Gothic" w:cs="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F7C7ECB"/>
    <w:multiLevelType w:val="hybridMultilevel"/>
    <w:tmpl w:val="3184F270"/>
    <w:lvl w:ilvl="0" w:tplc="70BEB09A">
      <w:start w:val="1"/>
      <w:numFmt w:val="bullet"/>
      <w:lvlText w:val=""/>
      <w:lvlPicBulletId w:val="0"/>
      <w:lvlJc w:val="left"/>
      <w:pPr>
        <w:tabs>
          <w:tab w:val="num" w:pos="720"/>
        </w:tabs>
        <w:ind w:left="720" w:hanging="360"/>
      </w:pPr>
      <w:rPr>
        <w:rFonts w:ascii="Symbol" w:hAnsi="Symbol" w:hint="default"/>
      </w:rPr>
    </w:lvl>
    <w:lvl w:ilvl="1" w:tplc="7DE64AEC" w:tentative="1">
      <w:start w:val="1"/>
      <w:numFmt w:val="bullet"/>
      <w:lvlText w:val=""/>
      <w:lvlJc w:val="left"/>
      <w:pPr>
        <w:tabs>
          <w:tab w:val="num" w:pos="1440"/>
        </w:tabs>
        <w:ind w:left="1440" w:hanging="360"/>
      </w:pPr>
      <w:rPr>
        <w:rFonts w:ascii="Symbol" w:hAnsi="Symbol" w:hint="default"/>
      </w:rPr>
    </w:lvl>
    <w:lvl w:ilvl="2" w:tplc="B2A613BA" w:tentative="1">
      <w:start w:val="1"/>
      <w:numFmt w:val="bullet"/>
      <w:lvlText w:val=""/>
      <w:lvlJc w:val="left"/>
      <w:pPr>
        <w:tabs>
          <w:tab w:val="num" w:pos="2160"/>
        </w:tabs>
        <w:ind w:left="2160" w:hanging="360"/>
      </w:pPr>
      <w:rPr>
        <w:rFonts w:ascii="Symbol" w:hAnsi="Symbol" w:hint="default"/>
      </w:rPr>
    </w:lvl>
    <w:lvl w:ilvl="3" w:tplc="46C6862C" w:tentative="1">
      <w:start w:val="1"/>
      <w:numFmt w:val="bullet"/>
      <w:lvlText w:val=""/>
      <w:lvlJc w:val="left"/>
      <w:pPr>
        <w:tabs>
          <w:tab w:val="num" w:pos="2880"/>
        </w:tabs>
        <w:ind w:left="2880" w:hanging="360"/>
      </w:pPr>
      <w:rPr>
        <w:rFonts w:ascii="Symbol" w:hAnsi="Symbol" w:hint="default"/>
      </w:rPr>
    </w:lvl>
    <w:lvl w:ilvl="4" w:tplc="EBA6D1E4" w:tentative="1">
      <w:start w:val="1"/>
      <w:numFmt w:val="bullet"/>
      <w:lvlText w:val=""/>
      <w:lvlJc w:val="left"/>
      <w:pPr>
        <w:tabs>
          <w:tab w:val="num" w:pos="3600"/>
        </w:tabs>
        <w:ind w:left="3600" w:hanging="360"/>
      </w:pPr>
      <w:rPr>
        <w:rFonts w:ascii="Symbol" w:hAnsi="Symbol" w:hint="default"/>
      </w:rPr>
    </w:lvl>
    <w:lvl w:ilvl="5" w:tplc="A98AA6CE" w:tentative="1">
      <w:start w:val="1"/>
      <w:numFmt w:val="bullet"/>
      <w:lvlText w:val=""/>
      <w:lvlJc w:val="left"/>
      <w:pPr>
        <w:tabs>
          <w:tab w:val="num" w:pos="4320"/>
        </w:tabs>
        <w:ind w:left="4320" w:hanging="360"/>
      </w:pPr>
      <w:rPr>
        <w:rFonts w:ascii="Symbol" w:hAnsi="Symbol" w:hint="default"/>
      </w:rPr>
    </w:lvl>
    <w:lvl w:ilvl="6" w:tplc="AEA43C34" w:tentative="1">
      <w:start w:val="1"/>
      <w:numFmt w:val="bullet"/>
      <w:lvlText w:val=""/>
      <w:lvlJc w:val="left"/>
      <w:pPr>
        <w:tabs>
          <w:tab w:val="num" w:pos="5040"/>
        </w:tabs>
        <w:ind w:left="5040" w:hanging="360"/>
      </w:pPr>
      <w:rPr>
        <w:rFonts w:ascii="Symbol" w:hAnsi="Symbol" w:hint="default"/>
      </w:rPr>
    </w:lvl>
    <w:lvl w:ilvl="7" w:tplc="FB881F20" w:tentative="1">
      <w:start w:val="1"/>
      <w:numFmt w:val="bullet"/>
      <w:lvlText w:val=""/>
      <w:lvlJc w:val="left"/>
      <w:pPr>
        <w:tabs>
          <w:tab w:val="num" w:pos="5760"/>
        </w:tabs>
        <w:ind w:left="5760" w:hanging="360"/>
      </w:pPr>
      <w:rPr>
        <w:rFonts w:ascii="Symbol" w:hAnsi="Symbol" w:hint="default"/>
      </w:rPr>
    </w:lvl>
    <w:lvl w:ilvl="8" w:tplc="871A626A" w:tentative="1">
      <w:start w:val="1"/>
      <w:numFmt w:val="bullet"/>
      <w:lvlText w:val=""/>
      <w:lvlJc w:val="left"/>
      <w:pPr>
        <w:tabs>
          <w:tab w:val="num" w:pos="6480"/>
        </w:tabs>
        <w:ind w:left="6480" w:hanging="360"/>
      </w:pPr>
      <w:rPr>
        <w:rFonts w:ascii="Symbol" w:hAnsi="Symbol" w:hint="default"/>
      </w:rPr>
    </w:lvl>
  </w:abstractNum>
  <w:abstractNum w:abstractNumId="2">
    <w:nsid w:val="56FF4C37"/>
    <w:multiLevelType w:val="multilevel"/>
    <w:tmpl w:val="35F8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1A"/>
    <w:rsid w:val="00084223"/>
    <w:rsid w:val="0039389E"/>
    <w:rsid w:val="004B63B6"/>
    <w:rsid w:val="004C0FFF"/>
    <w:rsid w:val="004E19C4"/>
    <w:rsid w:val="006C2143"/>
    <w:rsid w:val="00BE211A"/>
    <w:rsid w:val="00D4602E"/>
    <w:rsid w:val="00D73F4F"/>
    <w:rsid w:val="00F904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31740-EF9E-4267-BA77-9C8D1300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semiHidden/>
    <w:unhideWhenUsed/>
    <w:qFormat/>
    <w:rsid w:val="00F904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4C0FF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E211A"/>
    <w:rPr>
      <w:color w:val="0000FF"/>
      <w:u w:val="single"/>
    </w:rPr>
  </w:style>
  <w:style w:type="character" w:styleId="Accentuation">
    <w:name w:val="Emphasis"/>
    <w:basedOn w:val="Policepardfaut"/>
    <w:uiPriority w:val="20"/>
    <w:qFormat/>
    <w:rsid w:val="00BE211A"/>
    <w:rPr>
      <w:i/>
      <w:iCs/>
    </w:rPr>
  </w:style>
  <w:style w:type="character" w:customStyle="1" w:styleId="apple-converted-space">
    <w:name w:val="apple-converted-space"/>
    <w:basedOn w:val="Policepardfaut"/>
    <w:rsid w:val="00BE211A"/>
  </w:style>
  <w:style w:type="character" w:styleId="Lienhypertextesuivivisit">
    <w:name w:val="FollowedHyperlink"/>
    <w:basedOn w:val="Policepardfaut"/>
    <w:uiPriority w:val="99"/>
    <w:semiHidden/>
    <w:unhideWhenUsed/>
    <w:rsid w:val="00BE211A"/>
    <w:rPr>
      <w:color w:val="954F72" w:themeColor="followedHyperlink"/>
      <w:u w:val="single"/>
    </w:rPr>
  </w:style>
  <w:style w:type="paragraph" w:styleId="Paragraphedeliste">
    <w:name w:val="List Paragraph"/>
    <w:basedOn w:val="Normal"/>
    <w:uiPriority w:val="34"/>
    <w:qFormat/>
    <w:rsid w:val="00BE211A"/>
    <w:pPr>
      <w:ind w:left="720"/>
      <w:contextualSpacing/>
    </w:pPr>
  </w:style>
  <w:style w:type="paragraph" w:styleId="Corpsdetexte">
    <w:name w:val="Body Text"/>
    <w:basedOn w:val="Normal"/>
    <w:link w:val="CorpsdetexteCar"/>
    <w:rsid w:val="004E19C4"/>
    <w:pPr>
      <w:spacing w:after="0" w:line="240" w:lineRule="auto"/>
      <w:jc w:val="both"/>
    </w:pPr>
    <w:rPr>
      <w:rFonts w:ascii="Bookman Old Style" w:eastAsia="Times New Roman" w:hAnsi="Bookman Old Style" w:cs="Times New Roman"/>
      <w:sz w:val="20"/>
      <w:szCs w:val="20"/>
      <w:lang w:eastAsia="fr-FR"/>
    </w:rPr>
  </w:style>
  <w:style w:type="character" w:customStyle="1" w:styleId="CorpsdetexteCar">
    <w:name w:val="Corps de texte Car"/>
    <w:basedOn w:val="Policepardfaut"/>
    <w:link w:val="Corpsdetexte"/>
    <w:rsid w:val="004E19C4"/>
    <w:rPr>
      <w:rFonts w:ascii="Bookman Old Style" w:eastAsia="Times New Roman" w:hAnsi="Bookman Old Style" w:cs="Times New Roman"/>
      <w:sz w:val="20"/>
      <w:szCs w:val="20"/>
      <w:lang w:eastAsia="fr-FR"/>
    </w:rPr>
  </w:style>
  <w:style w:type="paragraph" w:styleId="NormalWeb">
    <w:name w:val="Normal (Web)"/>
    <w:basedOn w:val="Normal"/>
    <w:uiPriority w:val="99"/>
    <w:semiHidden/>
    <w:unhideWhenUsed/>
    <w:rsid w:val="0039389E"/>
    <w:rPr>
      <w:rFonts w:ascii="Times New Roman" w:hAnsi="Times New Roman" w:cs="Times New Roman"/>
      <w:sz w:val="24"/>
      <w:szCs w:val="24"/>
    </w:rPr>
  </w:style>
  <w:style w:type="character" w:customStyle="1" w:styleId="Titre3Car">
    <w:name w:val="Titre 3 Car"/>
    <w:basedOn w:val="Policepardfaut"/>
    <w:link w:val="Titre3"/>
    <w:uiPriority w:val="9"/>
    <w:rsid w:val="004C0FFF"/>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4C0FFF"/>
    <w:rPr>
      <w:b/>
      <w:bCs/>
    </w:rPr>
  </w:style>
  <w:style w:type="character" w:customStyle="1" w:styleId="Titre2Car">
    <w:name w:val="Titre 2 Car"/>
    <w:basedOn w:val="Policepardfaut"/>
    <w:link w:val="Titre2"/>
    <w:uiPriority w:val="9"/>
    <w:semiHidden/>
    <w:rsid w:val="00F9041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24308">
      <w:bodyDiv w:val="1"/>
      <w:marLeft w:val="0"/>
      <w:marRight w:val="0"/>
      <w:marTop w:val="0"/>
      <w:marBottom w:val="0"/>
      <w:divBdr>
        <w:top w:val="none" w:sz="0" w:space="0" w:color="auto"/>
        <w:left w:val="none" w:sz="0" w:space="0" w:color="auto"/>
        <w:bottom w:val="none" w:sz="0" w:space="0" w:color="auto"/>
        <w:right w:val="none" w:sz="0" w:space="0" w:color="auto"/>
      </w:divBdr>
    </w:div>
    <w:div w:id="584611972">
      <w:bodyDiv w:val="1"/>
      <w:marLeft w:val="0"/>
      <w:marRight w:val="0"/>
      <w:marTop w:val="0"/>
      <w:marBottom w:val="0"/>
      <w:divBdr>
        <w:top w:val="none" w:sz="0" w:space="0" w:color="auto"/>
        <w:left w:val="none" w:sz="0" w:space="0" w:color="auto"/>
        <w:bottom w:val="none" w:sz="0" w:space="0" w:color="auto"/>
        <w:right w:val="none" w:sz="0" w:space="0" w:color="auto"/>
      </w:divBdr>
    </w:div>
    <w:div w:id="656038033">
      <w:bodyDiv w:val="1"/>
      <w:marLeft w:val="0"/>
      <w:marRight w:val="0"/>
      <w:marTop w:val="0"/>
      <w:marBottom w:val="0"/>
      <w:divBdr>
        <w:top w:val="none" w:sz="0" w:space="0" w:color="auto"/>
        <w:left w:val="none" w:sz="0" w:space="0" w:color="auto"/>
        <w:bottom w:val="none" w:sz="0" w:space="0" w:color="auto"/>
        <w:right w:val="none" w:sz="0" w:space="0" w:color="auto"/>
      </w:divBdr>
    </w:div>
    <w:div w:id="1135946310">
      <w:bodyDiv w:val="1"/>
      <w:marLeft w:val="0"/>
      <w:marRight w:val="0"/>
      <w:marTop w:val="0"/>
      <w:marBottom w:val="0"/>
      <w:divBdr>
        <w:top w:val="none" w:sz="0" w:space="0" w:color="auto"/>
        <w:left w:val="none" w:sz="0" w:space="0" w:color="auto"/>
        <w:bottom w:val="none" w:sz="0" w:space="0" w:color="auto"/>
        <w:right w:val="none" w:sz="0" w:space="0" w:color="auto"/>
      </w:divBdr>
    </w:div>
    <w:div w:id="208583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CodeArticle.do;jsessionid=B1B089B648EE0AE8CA09012CD265D07D.tpdjo13v_3?idArticle=LEGIARTI000025938364&amp;cidTexte=LEGITEXT000025024948&amp;dateTexte=20120601&amp;categorieLien=id" TargetMode="External"/><Relationship Id="rId13" Type="http://schemas.openxmlformats.org/officeDocument/2006/relationships/hyperlink" Target="http://www.legifrance.gouv.fr/affichCodeArticle.do;jsessionid=B1B089B648EE0AE8CA09012CD265D07D.tpdjo13v_3?idArticle=LEGIARTI000025938372&amp;cidTexte=LEGITEXT000025024948&amp;dateTexte=20120601&amp;categorieLien=id" TargetMode="External"/><Relationship Id="rId18" Type="http://schemas.openxmlformats.org/officeDocument/2006/relationships/hyperlink" Target="http://vosdroits.service-public.fr/professionnels-entreprises/F20688.x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emf"/><Relationship Id="rId7" Type="http://schemas.openxmlformats.org/officeDocument/2006/relationships/hyperlink" Target="http://www.legifrance.gouv.fr/affichCodeArticle.do;jsessionid=8D93775426A171928CF0129D14CE4E86.tpdjo11v_3?idArticle=LEGIARTI000006654309&amp;cidTexte=LEGITEXT000006072026&amp;dateTexte=20090903" TargetMode="External"/><Relationship Id="rId12" Type="http://schemas.openxmlformats.org/officeDocument/2006/relationships/hyperlink" Target="http://www.legifrance.gouv.fr/affichCodeArticle.do;jsessionid=9C5C5988DDEA69719EEF430B4D171963.tpdjo13v_3?idArticle=LEGIARTI000027015026&amp;cidTexte=LEGITEXT000025024948&amp;categorieLien=id&amp;dateTexte=20130820" TargetMode="External"/><Relationship Id="rId17" Type="http://schemas.openxmlformats.org/officeDocument/2006/relationships/hyperlink" Target="http://vosdroits.service-public.fr/professionnels-entreprises/R34602.x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r.wikipedia.org/wiki/Cr%C3%A9dit_inter-entreprises" TargetMode="External"/><Relationship Id="rId20" Type="http://schemas.openxmlformats.org/officeDocument/2006/relationships/hyperlink" Target="http://vosdroits.service-public.fr/professionnels-entreprises/F23211.xhtml" TargetMode="External"/><Relationship Id="rId1" Type="http://schemas.openxmlformats.org/officeDocument/2006/relationships/numbering" Target="numbering.xml"/><Relationship Id="rId6" Type="http://schemas.openxmlformats.org/officeDocument/2006/relationships/hyperlink" Target="http://www.legifrance.gouv.fr/affichCodeArticle.do;jsessionid=8D93775426A171928CF0129D14CE4E86.tpdjo11v_3?idArticle=LEGIARTI000022175480&amp;cidTexte=LEGITEXT000006072026&amp;categorieLien=id&amp;dateTexte=20121016" TargetMode="External"/><Relationship Id="rId11" Type="http://schemas.openxmlformats.org/officeDocument/2006/relationships/hyperlink" Target="http://www.legifrance.gouv.fr/affichCodeArticle.do;jsessionid=8DE9214BCA22F1D36205F5287F3D8CAC.tpdjo13v_3?cidTexte=LEGITEXT000025024948&amp;idArticle=LEGIARTI000025025657&amp;dateTexte=&amp;categorieLien=cid" TargetMode="External"/><Relationship Id="rId24" Type="http://schemas.openxmlformats.org/officeDocument/2006/relationships/oleObject" Target="embeddings/oleObject2.bin"/><Relationship Id="rId5" Type="http://schemas.openxmlformats.org/officeDocument/2006/relationships/hyperlink" Target="http://www.legifrance.gouv.fr/affichCodeArticle.do;jsessionid=B1B089B648EE0AE8CA09012CD265D07D.tpdjo13v_3?idArticle=LEGIARTI000025938364&amp;cidTexte=LEGITEXT000025024948&amp;dateTexte=20120601&amp;categorieLien=id" TargetMode="External"/><Relationship Id="rId15" Type="http://schemas.openxmlformats.org/officeDocument/2006/relationships/hyperlink" Target="http://www.legifrance.gouv.fr/affichCodeArticle.do;jsessionid=B1B089B648EE0AE8CA09012CD265D07D.tpdjo13v_3?idArticle=LEGIARTI000025938370&amp;cidTexte=LEGITEXT000025024948&amp;dateTexte=20120601&amp;categorieLien=id" TargetMode="External"/><Relationship Id="rId23" Type="http://schemas.openxmlformats.org/officeDocument/2006/relationships/image" Target="media/image4.emf"/><Relationship Id="rId10" Type="http://schemas.openxmlformats.org/officeDocument/2006/relationships/hyperlink" Target="http://www.legifrance.gouv.fr/affichCodeArticle.do;jsessionid=8DE9214BCA22F1D36205F5287F3D8CAC.tpdjo13v_3?cidTexte=LEGITEXT000025024948&amp;idArticle=LEGIARTI000025025657&amp;dateTexte=&amp;categorieLien=cid" TargetMode="External"/><Relationship Id="rId19" Type="http://schemas.openxmlformats.org/officeDocument/2006/relationships/hyperlink" Target="http://vosdroits.service-public.fr/professionnels-entreprises/F23211.xhtml" TargetMode="External"/><Relationship Id="rId4" Type="http://schemas.openxmlformats.org/officeDocument/2006/relationships/webSettings" Target="webSettings.xml"/><Relationship Id="rId9" Type="http://schemas.openxmlformats.org/officeDocument/2006/relationships/hyperlink" Target="http://www.legifrance.gouv.fr/affichCodeArticle.do;jsessionid=B1B089B648EE0AE8CA09012CD265D07D.tpdjo13v_3?idArticle=LEGIARTI000025938366&amp;cidTexte=LEGITEXT000025024948&amp;dateTexte=20120601&amp;categorieLien=id" TargetMode="External"/><Relationship Id="rId14" Type="http://schemas.openxmlformats.org/officeDocument/2006/relationships/image" Target="media/image2.gif"/><Relationship Id="rId22"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1675</Words>
  <Characters>9217</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Viejo</dc:creator>
  <cp:keywords/>
  <dc:description/>
  <cp:lastModifiedBy>Dominique Viejo</cp:lastModifiedBy>
  <cp:revision>2</cp:revision>
  <dcterms:created xsi:type="dcterms:W3CDTF">2014-10-13T09:47:00Z</dcterms:created>
  <dcterms:modified xsi:type="dcterms:W3CDTF">2014-10-13T09:47:00Z</dcterms:modified>
</cp:coreProperties>
</file>